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color w:val="auto"/>
          <w:sz w:val="84"/>
          <w:szCs w:val="84"/>
          <w:highlight w:val="none"/>
        </w:rPr>
      </w:pPr>
      <w:r>
        <w:rPr>
          <w:rFonts w:hint="eastAsia"/>
          <w:color w:val="auto"/>
          <w:sz w:val="84"/>
          <w:szCs w:val="84"/>
          <w:highlight w:val="none"/>
        </w:rPr>
        <w:t xml:space="preserve">团体标准 </w:t>
      </w:r>
    </w:p>
    <w:p>
      <w:pPr>
        <w:pStyle w:val="55"/>
        <w:framePr w:wrap="around"/>
        <w:wordWrap w:val="0"/>
        <w:rPr>
          <w:color w:val="auto"/>
          <w:highlight w:val="none"/>
        </w:rPr>
      </w:pPr>
      <w:r>
        <w:rPr>
          <w:color w:val="auto"/>
          <w:highlight w:val="none"/>
        </w:rPr>
        <w:t>T/FSS XX-202</w:t>
      </w:r>
      <w:r>
        <w:rPr>
          <w:rFonts w:hint="eastAsia"/>
          <w:color w:val="auto"/>
          <w:highlight w:val="none"/>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color w:val="auto"/>
                <w:sz w:val="10"/>
                <w:highlight w:val="none"/>
              </w:rPr>
            </w:pPr>
          </w:p>
        </w:tc>
      </w:tr>
    </w:tbl>
    <w:p>
      <w:pPr>
        <w:pStyle w:val="57"/>
        <w:framePr w:wrap="around"/>
        <w:rPr>
          <w:color w:val="auto"/>
          <w:highlight w:val="none"/>
        </w:rPr>
      </w:pPr>
      <w:r>
        <w:rPr>
          <w:rFonts w:hint="eastAsia"/>
          <w:color w:val="auto"/>
          <w:highlight w:val="none"/>
        </w:rPr>
        <w:t xml:space="preserve">佛山标准 </w:t>
      </w:r>
      <w:r>
        <w:rPr>
          <w:color w:val="auto"/>
          <w:highlight w:val="none"/>
        </w:rPr>
        <w:t xml:space="preserve"> </w:t>
      </w:r>
      <w:r>
        <w:rPr>
          <w:rFonts w:hint="eastAsia"/>
          <w:color w:val="auto"/>
          <w:highlight w:val="none"/>
        </w:rPr>
        <w:t>制冷陈列柜</w:t>
      </w:r>
    </w:p>
    <w:p>
      <w:pPr>
        <w:pStyle w:val="59"/>
        <w:framePr w:wrap="around"/>
        <w:rPr>
          <w:color w:val="auto"/>
          <w:highlight w:val="none"/>
        </w:rPr>
      </w:pPr>
      <w:r>
        <w:rPr>
          <w:color w:val="auto"/>
          <w:highlight w:val="none"/>
        </w:rPr>
        <w:t xml:space="preserve">Foshan Standard </w:t>
      </w:r>
      <w:r>
        <w:rPr>
          <w:rFonts w:hint="eastAsia"/>
          <w:color w:val="auto"/>
          <w:highlight w:val="none"/>
        </w:rPr>
        <w:t>Refrigerated display cabinets</w:t>
      </w:r>
    </w:p>
    <w:p>
      <w:pPr>
        <w:pStyle w:val="63"/>
        <w:framePr w:wrap="around"/>
        <w:spacing w:after="0"/>
        <w:rPr>
          <w:color w:val="auto"/>
          <w:highlight w:val="none"/>
        </w:rPr>
      </w:pPr>
      <w:r>
        <w:rPr>
          <w:color w:val="auto"/>
          <w:highlight w:val="none"/>
        </w:rPr>
        <w:t>(</w:t>
      </w:r>
      <w:r>
        <w:rPr>
          <w:rFonts w:hint="eastAsia"/>
          <w:color w:val="auto"/>
          <w:highlight w:val="none"/>
          <w:lang w:eastAsia="zh-CN"/>
        </w:rPr>
        <w:t>征求意</w:t>
      </w:r>
      <w:bookmarkStart w:id="30" w:name="_GoBack"/>
      <w:bookmarkEnd w:id="30"/>
      <w:r>
        <w:rPr>
          <w:rFonts w:hint="eastAsia"/>
          <w:color w:val="auto"/>
          <w:highlight w:val="none"/>
          <w:lang w:eastAsia="zh-CN"/>
        </w:rPr>
        <w:t>见</w:t>
      </w:r>
      <w:r>
        <w:rPr>
          <w:rFonts w:hint="eastAsia"/>
          <w:color w:val="auto"/>
          <w:highlight w:val="none"/>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1"/>
              <w:framePr w:wrap="around"/>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color w:val="auto"/>
                <w:highlight w:val="none"/>
              </w:rPr>
              <w:fldChar w:fldCharType="begin">
                <w:ffData>
                  <w:name w:val="FD"/>
                  <w:enabled/>
                  <w:calcOnExit w:val="0"/>
                  <w:textInput>
                    <w:default w:val="XX"/>
                    <w:maxLength w:val="2"/>
                  </w:textInput>
                </w:ffData>
              </w:fldChar>
            </w:r>
            <w:bookmarkStart w:id="0" w:name="FD"/>
            <w:r>
              <w:rPr>
                <w:color w:val="auto"/>
                <w:highlight w:val="none"/>
              </w:rPr>
              <w:instrText xml:space="preserve"> FORMTEXT </w:instrText>
            </w:r>
            <w:r>
              <w:rPr>
                <w:color w:val="auto"/>
                <w:highlight w:val="none"/>
              </w:rPr>
              <w:fldChar w:fldCharType="separate"/>
            </w:r>
            <w:r>
              <w:rPr>
                <w:color w:val="auto"/>
                <w:highlight w:val="none"/>
              </w:rPr>
              <w:t>XX</w:t>
            </w:r>
            <w:r>
              <w:rPr>
                <w:color w:val="auto"/>
                <w:highlight w:val="none"/>
              </w:rPr>
              <w:fldChar w:fldCharType="end"/>
            </w:r>
            <w:bookmarkEnd w:id="0"/>
            <w:r>
              <w:rPr>
                <w:rFonts w:hint="eastAsia"/>
                <w:color w:val="auto"/>
                <w:highlight w:val="none"/>
              </w:rPr>
              <w:t xml:space="preserve"> 发布</w:t>
            </w:r>
          </w:p>
        </w:tc>
        <w:tc>
          <w:tcPr>
            <w:tcW w:w="4870" w:type="dxa"/>
            <w:shd w:val="clear" w:color="auto" w:fill="auto"/>
            <w:tcMar>
              <w:right w:w="57" w:type="dxa"/>
            </w:tcMar>
          </w:tcPr>
          <w:p>
            <w:pPr>
              <w:pStyle w:val="51"/>
              <w:framePr w:wrap="around"/>
              <w:jc w:val="right"/>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rFonts w:hint="eastAsia"/>
                <w:color w:val="auto"/>
                <w:highlight w:val="none"/>
              </w:rPr>
              <w:t>XX 实施</w:t>
            </w:r>
          </w:p>
        </w:tc>
      </w:tr>
    </w:tbl>
    <w:p>
      <w:pPr>
        <w:pStyle w:val="71"/>
        <w:framePr w:wrap="around"/>
        <w:rPr>
          <w:color w:val="auto"/>
          <w:highlight w:val="none"/>
        </w:rPr>
      </w:pPr>
      <w:r>
        <w:rPr>
          <w:rFonts w:hint="eastAsia"/>
          <w:color w:val="auto"/>
          <w:highlight w:val="none"/>
        </w:rPr>
        <w:t>佛山市佛山标准和卓越绩效管理促进会</w:t>
      </w:r>
      <w:r>
        <w:rPr>
          <w:color w:val="auto"/>
          <w:highlight w:val="none"/>
        </w:rPr>
        <w:t>  </w:t>
      </w:r>
      <w:r>
        <w:rPr>
          <w:color w:val="auto"/>
          <w:spacing w:val="85"/>
          <w:highlight w:val="none"/>
        </w:rPr>
        <w:t>发</w:t>
      </w:r>
      <w:r>
        <w:rPr>
          <w:color w:val="auto"/>
          <w:highlight w:val="none"/>
        </w:rP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rPr>
                <w:color w:val="auto"/>
                <w:highlight w:val="none"/>
              </w:rPr>
            </w:pPr>
            <w:r>
              <w:rPr>
                <w:color w:val="auto"/>
                <w:highlight w:val="none"/>
              </w:rPr>
              <w:t xml:space="preserve">ICS </w:t>
            </w:r>
            <w:r>
              <w:rPr>
                <w:rFonts w:hint="eastAsia"/>
                <w:color w:val="auto"/>
                <w:highlight w:val="none"/>
              </w:rPr>
              <w:t>97</w:t>
            </w:r>
            <w:r>
              <w:rPr>
                <w:color w:val="auto"/>
                <w:highlight w:val="none"/>
              </w:rPr>
              <w:t>.</w:t>
            </w:r>
            <w:r>
              <w:rPr>
                <w:rFonts w:hint="eastAsia"/>
                <w:color w:val="auto"/>
                <w:highlight w:val="none"/>
              </w:rPr>
              <w:t>130.20</w:t>
            </w:r>
          </w:p>
        </w:tc>
        <w:tc>
          <w:tcPr>
            <w:tcW w:w="7795" w:type="dxa"/>
            <w:shd w:val="clear" w:color="auto" w:fill="auto"/>
          </w:tcPr>
          <w:p>
            <w:pPr>
              <w:pStyle w:val="79"/>
              <w:framePr w:wrap="around"/>
              <w:rPr>
                <w:color w:val="auto"/>
                <w:highlight w:val="none"/>
              </w:rPr>
            </w:pPr>
          </w:p>
        </w:tc>
      </w:tr>
      <w:tr>
        <w:tblPrEx>
          <w:tblCellMar>
            <w:top w:w="0" w:type="dxa"/>
            <w:left w:w="0" w:type="dxa"/>
            <w:bottom w:w="0" w:type="dxa"/>
            <w:right w:w="0" w:type="dxa"/>
          </w:tblCellMar>
        </w:tblPrEx>
        <w:tc>
          <w:tcPr>
            <w:tcW w:w="1560" w:type="dxa"/>
            <w:shd w:val="clear" w:color="auto" w:fill="auto"/>
          </w:tcPr>
          <w:p>
            <w:pPr>
              <w:pStyle w:val="79"/>
              <w:framePr w:wrap="around"/>
              <w:rPr>
                <w:color w:val="auto"/>
                <w:highlight w:val="none"/>
              </w:rPr>
            </w:pPr>
            <w:r>
              <w:rPr>
                <w:color w:val="auto"/>
                <w:highlight w:val="none"/>
              </w:rPr>
              <w:t>CCS J</w:t>
            </w:r>
            <w:r>
              <w:rPr>
                <w:rFonts w:hint="eastAsia"/>
                <w:color w:val="auto"/>
                <w:highlight w:val="none"/>
              </w:rPr>
              <w:t xml:space="preserve"> 73</w:t>
            </w:r>
          </w:p>
        </w:tc>
        <w:tc>
          <w:tcPr>
            <w:tcW w:w="7795" w:type="dxa"/>
            <w:shd w:val="clear" w:color="auto" w:fill="auto"/>
          </w:tcPr>
          <w:p>
            <w:pPr>
              <w:pStyle w:val="79"/>
              <w:framePr w:wrap="around"/>
              <w:rPr>
                <w:color w:val="auto"/>
                <w:highlight w:val="none"/>
              </w:rPr>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color w:val="auto"/>
                      <w:w w:val="130"/>
                      <w:kern w:val="0"/>
                      <w:highlight w:val="none"/>
                    </w:rPr>
                  </w:pPr>
                </w:p>
              </w:tc>
            </w:tr>
          </w:tbl>
          <w:p>
            <w:pPr>
              <w:pStyle w:val="79"/>
              <w:framePr w:wrap="around"/>
              <w:rPr>
                <w:color w:val="auto"/>
                <w:highlight w:val="none"/>
              </w:rPr>
            </w:pPr>
          </w:p>
        </w:tc>
      </w:tr>
    </w:tbl>
    <w:p>
      <w:pPr>
        <w:pStyle w:val="79"/>
        <w:framePr w:wrap="around"/>
        <w:rPr>
          <w:color w:val="auto"/>
          <w:highlight w:val="none"/>
        </w:rPr>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rPr>
          <w:color w:val="auto"/>
          <w:highlight w:val="none"/>
        </w:rPr>
      </w:pPr>
      <w:r>
        <w:rPr>
          <w:rFonts w:hint="eastAsia"/>
          <w:color w:val="auto"/>
          <w:spacing w:val="317"/>
          <w:highlight w:val="none"/>
        </w:rPr>
        <w:t>前</w:t>
      </w:r>
      <w:bookmarkStart w:id="1" w:name="BKQY"/>
      <w:r>
        <w:rPr>
          <w:rFonts w:hint="eastAsia"/>
          <w:color w:val="auto"/>
          <w:highlight w:val="none"/>
        </w:rPr>
        <w:t>言</w:t>
      </w:r>
    </w:p>
    <w:p>
      <w:pPr>
        <w:pStyle w:val="23"/>
        <w:ind w:firstLine="420"/>
        <w:rPr>
          <w:color w:val="auto"/>
          <w:highlight w:val="none"/>
        </w:rPr>
      </w:pPr>
      <w:r>
        <w:rPr>
          <w:rFonts w:hint="eastAsia"/>
          <w:color w:val="auto"/>
          <w:highlight w:val="none"/>
        </w:rPr>
        <w:t>本文件按照GB/T 1.1-2020《标准化工作导则  第1部分：标准化文件的结构和起草规则》的规定起草。</w:t>
      </w:r>
    </w:p>
    <w:p>
      <w:pPr>
        <w:pStyle w:val="23"/>
        <w:ind w:firstLine="420"/>
        <w:rPr>
          <w:color w:val="auto"/>
          <w:highlight w:val="none"/>
        </w:rPr>
      </w:pPr>
      <w:r>
        <w:rPr>
          <w:rFonts w:hint="eastAsia"/>
          <w:color w:val="auto"/>
          <w:highlight w:val="none"/>
        </w:rPr>
        <w:t>请注意本文件的某些内容可能涉及专利，本文件的发布机构不承担识别专利的责任。</w:t>
      </w:r>
    </w:p>
    <w:p>
      <w:pPr>
        <w:pStyle w:val="23"/>
        <w:ind w:firstLine="420"/>
        <w:rPr>
          <w:color w:val="auto"/>
          <w:highlight w:val="none"/>
        </w:rPr>
      </w:pPr>
      <w:r>
        <w:rPr>
          <w:rFonts w:hint="eastAsia"/>
          <w:color w:val="auto"/>
          <w:highlight w:val="none"/>
        </w:rPr>
        <w:t>本文件由佛山市佛山标准和卓越绩效管理促进会提出并归口。</w:t>
      </w:r>
    </w:p>
    <w:p>
      <w:pPr>
        <w:pStyle w:val="23"/>
        <w:ind w:firstLine="420"/>
        <w:rPr>
          <w:color w:val="auto"/>
          <w:highlight w:val="none"/>
        </w:rPr>
      </w:pPr>
      <w:r>
        <w:rPr>
          <w:rFonts w:hint="eastAsia"/>
          <w:color w:val="auto"/>
          <w:highlight w:val="none"/>
        </w:rPr>
        <w:t>本文件起草单位：广东星星制冷设备有限公司、佛山市顺德区质量技术监督标准与编码所等。</w:t>
      </w:r>
    </w:p>
    <w:p>
      <w:pPr>
        <w:pStyle w:val="23"/>
        <w:ind w:firstLine="420"/>
        <w:rPr>
          <w:color w:val="auto"/>
          <w:highlight w:val="none"/>
        </w:rPr>
      </w:pPr>
      <w:r>
        <w:rPr>
          <w:rFonts w:hint="eastAsia"/>
          <w:color w:val="auto"/>
          <w:highlight w:val="none"/>
        </w:rPr>
        <w:t>本文件主要起草人：。</w:t>
      </w:r>
      <w:bookmarkEnd w:id="1"/>
    </w:p>
    <w:p>
      <w:pPr>
        <w:widowControl/>
        <w:jc w:val="left"/>
        <w:rPr>
          <w:color w:val="auto"/>
          <w:highlight w:val="none"/>
        </w:rPr>
      </w:pPr>
      <w:r>
        <w:rPr>
          <w:color w:val="auto"/>
          <w:highlight w:val="none"/>
        </w:rPr>
        <w:br w:type="page"/>
      </w:r>
    </w:p>
    <w:p>
      <w:pPr>
        <w:pStyle w:val="83"/>
        <w:spacing w:after="468"/>
        <w:rPr>
          <w:color w:val="auto"/>
          <w:highlight w:val="none"/>
        </w:rPr>
      </w:pPr>
      <w:r>
        <w:rPr>
          <w:rFonts w:hint="eastAsia"/>
          <w:color w:val="auto"/>
          <w:spacing w:val="317"/>
          <w:highlight w:val="none"/>
        </w:rPr>
        <w:t>引</w:t>
      </w:r>
      <w:bookmarkStart w:id="2" w:name="BKYY"/>
      <w:r>
        <w:rPr>
          <w:rFonts w:hint="eastAsia"/>
          <w:color w:val="auto"/>
          <w:highlight w:val="none"/>
        </w:rPr>
        <w:t>言</w:t>
      </w:r>
    </w:p>
    <w:p>
      <w:pPr>
        <w:pStyle w:val="23"/>
        <w:ind w:firstLine="420"/>
        <w:rPr>
          <w:color w:val="auto"/>
          <w:highlight w:val="none"/>
        </w:rPr>
      </w:pPr>
      <w:r>
        <w:rPr>
          <w:rFonts w:hint="eastAsia"/>
          <w:color w:val="auto"/>
          <w:highlight w:val="none"/>
        </w:rPr>
        <w:t>佛山标准是佛山市为推动制造业高质量发展，打造的系列先进标准。</w:t>
      </w:r>
    </w:p>
    <w:p>
      <w:pPr>
        <w:pStyle w:val="23"/>
        <w:ind w:firstLine="420"/>
        <w:rPr>
          <w:color w:val="auto"/>
          <w:highlight w:val="none"/>
        </w:rPr>
      </w:pPr>
      <w:r>
        <w:rPr>
          <w:rFonts w:hint="eastAsia"/>
          <w:color w:val="auto"/>
          <w:highlight w:val="none"/>
        </w:rPr>
        <w:t>佛山标准倡导“标准决定质量，只有高标准才有高质量”的理念，坚持“国内领先、国际先进”定位，聚焦佛山制造业重点产业制冷陈列柜，对标国内国际先进标准，围绕消费升级方向，提升标准和质量水平，增加优质制冷陈列柜供给，以高标准打造中国制造品质高地，满足人民日益增长的美好生活需要。</w:t>
      </w:r>
      <w:bookmarkEnd w:id="2"/>
    </w:p>
    <w:p>
      <w:pPr>
        <w:rPr>
          <w:color w:val="auto"/>
          <w:highlight w:val="none"/>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color w:val="auto"/>
          <w:highlight w:val="none"/>
        </w:rPr>
        <w:tag w:val="StandardName"/>
        <w:id w:val="-1788579198"/>
        <w:lock w:val="sdtLocked"/>
        <w:placeholder>
          <w:docPart w:val="DefaultPlaceholder_-1854013440"/>
        </w:placeholder>
      </w:sdtPr>
      <w:sdtEndPr>
        <w:rPr>
          <w:rStyle w:val="86"/>
          <w:rFonts w:hint="default"/>
          <w:color w:val="auto"/>
          <w:highlight w:val="none"/>
        </w:rPr>
      </w:sdtEndPr>
      <w:sdtContent>
        <w:p>
          <w:pPr>
            <w:pStyle w:val="85"/>
            <w:rPr>
              <w:rStyle w:val="86"/>
              <w:color w:val="auto"/>
              <w:highlight w:val="none"/>
            </w:rPr>
          </w:pPr>
          <w:bookmarkStart w:id="3" w:name="StandardName"/>
          <w:r>
            <w:rPr>
              <w:rStyle w:val="86"/>
              <w:rFonts w:hint="eastAsia"/>
              <w:color w:val="auto"/>
              <w:highlight w:val="none"/>
            </w:rPr>
            <w:t xml:space="preserve">佛山标准 </w:t>
          </w:r>
          <w:bookmarkEnd w:id="3"/>
          <w:r>
            <w:rPr>
              <w:rStyle w:val="86"/>
              <w:rFonts w:hint="eastAsia"/>
              <w:color w:val="auto"/>
              <w:highlight w:val="none"/>
            </w:rPr>
            <w:t>制冷陈列柜</w:t>
          </w:r>
        </w:p>
      </w:sdtContent>
    </w:sdt>
    <w:p>
      <w:pPr>
        <w:pStyle w:val="117"/>
        <w:spacing w:before="312" w:after="312"/>
        <w:rPr>
          <w:color w:val="auto"/>
          <w:highlight w:val="none"/>
        </w:rPr>
      </w:pPr>
      <w:r>
        <w:rPr>
          <w:rFonts w:hint="eastAsia"/>
          <w:color w:val="auto"/>
          <w:highlight w:val="none"/>
        </w:rPr>
        <w:t>范围</w:t>
      </w:r>
    </w:p>
    <w:p>
      <w:pPr>
        <w:pStyle w:val="23"/>
        <w:ind w:firstLine="420"/>
        <w:rPr>
          <w:color w:val="auto"/>
          <w:highlight w:val="none"/>
        </w:rPr>
      </w:pPr>
      <w:bookmarkStart w:id="4" w:name="OLE_LINK11"/>
      <w:r>
        <w:rPr>
          <w:rFonts w:hint="eastAsia"/>
          <w:color w:val="auto"/>
          <w:highlight w:val="none"/>
        </w:rPr>
        <w:t>本文件规定了制冷陈列柜的分类、要求、试验方法、检验规则、标志、产品说明、包装、运输、贮存及质量承诺。</w:t>
      </w:r>
    </w:p>
    <w:p>
      <w:pPr>
        <w:pStyle w:val="23"/>
        <w:ind w:firstLine="420"/>
        <w:rPr>
          <w:color w:val="auto"/>
          <w:highlight w:val="none"/>
        </w:rPr>
      </w:pPr>
      <w:r>
        <w:rPr>
          <w:rFonts w:hint="eastAsia"/>
          <w:color w:val="auto"/>
          <w:highlight w:val="none"/>
        </w:rPr>
        <w:t>本文件适用于</w:t>
      </w:r>
      <w:r>
        <w:rPr>
          <w:rFonts w:hint="eastAsia"/>
          <w:color w:val="auto"/>
          <w:w w:val="105"/>
          <w:highlight w:val="none"/>
        </w:rPr>
        <w:t>制冷机组和陈列柜本体为一体的</w:t>
      </w:r>
      <w:r>
        <w:rPr>
          <w:color w:val="auto"/>
          <w:w w:val="105"/>
          <w:highlight w:val="none"/>
        </w:rPr>
        <w:t>自携式制冷陈列柜</w:t>
      </w:r>
      <w:r>
        <w:rPr>
          <w:rFonts w:hint="eastAsia"/>
          <w:color w:val="auto"/>
          <w:highlight w:val="none"/>
        </w:rPr>
        <w:t>。</w:t>
      </w:r>
    </w:p>
    <w:p>
      <w:pPr>
        <w:pStyle w:val="23"/>
        <w:ind w:firstLine="420"/>
        <w:rPr>
          <w:color w:val="auto"/>
          <w:highlight w:val="none"/>
        </w:rPr>
      </w:pPr>
      <w:r>
        <w:rPr>
          <w:rFonts w:hint="eastAsia"/>
          <w:color w:val="auto"/>
          <w:highlight w:val="none"/>
        </w:rPr>
        <w:t>本文件不适用于制冷自动售货机和拟用于餐饮的非零售用的制冷柜；也不适用于陈列柜内所展示食品类型的选择。</w:t>
      </w:r>
      <w:bookmarkEnd w:id="4"/>
    </w:p>
    <w:p>
      <w:pPr>
        <w:pStyle w:val="117"/>
        <w:spacing w:before="312" w:after="312"/>
        <w:rPr>
          <w:color w:val="auto"/>
          <w:highlight w:val="none"/>
        </w:rPr>
      </w:pPr>
      <w:r>
        <w:rPr>
          <w:rFonts w:hint="eastAsia"/>
          <w:color w:val="auto"/>
          <w:highlight w:val="none"/>
        </w:rPr>
        <w:t>规范性引用文件</w:t>
      </w:r>
    </w:p>
    <w:sdt>
      <w:sdtPr>
        <w:rPr>
          <w:color w:val="auto"/>
          <w:highlight w:val="none"/>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highlight w:val="none"/>
        </w:rPr>
      </w:sdtEndPr>
      <w:sdtContent>
        <w:p>
          <w:pPr>
            <w:pStyle w:val="23"/>
            <w:ind w:firstLine="420"/>
            <w:rPr>
              <w:color w:val="auto"/>
              <w:highlight w:val="none"/>
            </w:rPr>
          </w:pPr>
          <w:r>
            <w:rPr>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cs="Times New Roman"/>
          <w:color w:val="auto"/>
          <w:szCs w:val="21"/>
          <w:highlight w:val="none"/>
        </w:rPr>
      </w:pPr>
      <w:bookmarkStart w:id="5" w:name="OLE_LINK10"/>
      <w:r>
        <w:rPr>
          <w:rFonts w:cs="Times New Roman"/>
          <w:color w:val="auto"/>
          <w:szCs w:val="21"/>
          <w:highlight w:val="none"/>
        </w:rPr>
        <w:t xml:space="preserve">GB/T 2828.1  </w:t>
      </w:r>
      <w:r>
        <w:rPr>
          <w:rFonts w:hint="eastAsia" w:cs="Times New Roman"/>
          <w:color w:val="auto"/>
          <w:szCs w:val="21"/>
          <w:highlight w:val="none"/>
        </w:rPr>
        <w:t>计数抽样检验程序</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1</w:t>
      </w:r>
      <w:r>
        <w:rPr>
          <w:rFonts w:hint="eastAsia" w:cs="Times New Roman"/>
          <w:color w:val="auto"/>
          <w:szCs w:val="21"/>
          <w:highlight w:val="none"/>
        </w:rPr>
        <w:t>部分：按接收质量限</w:t>
      </w:r>
      <w:r>
        <w:rPr>
          <w:rFonts w:cs="Times New Roman"/>
          <w:color w:val="auto"/>
          <w:szCs w:val="21"/>
          <w:highlight w:val="none"/>
        </w:rPr>
        <w:t>(AQL)</w:t>
      </w:r>
      <w:r>
        <w:rPr>
          <w:rFonts w:hint="eastAsia" w:cs="Times New Roman"/>
          <w:color w:val="auto"/>
          <w:szCs w:val="21"/>
          <w:highlight w:val="none"/>
        </w:rPr>
        <w:t>检索的逐批检验抽样计划</w:t>
      </w:r>
    </w:p>
    <w:p>
      <w:pPr>
        <w:widowControl/>
        <w:ind w:left="420"/>
        <w:rPr>
          <w:rFonts w:cs="Times New Roman"/>
          <w:color w:val="auto"/>
          <w:szCs w:val="21"/>
          <w:highlight w:val="none"/>
        </w:rPr>
      </w:pPr>
      <w:r>
        <w:rPr>
          <w:rFonts w:cs="Times New Roman"/>
          <w:color w:val="auto"/>
          <w:szCs w:val="21"/>
          <w:highlight w:val="none"/>
        </w:rPr>
        <w:t>GB/T 2829</w:t>
      </w:r>
      <w:r>
        <w:rPr>
          <w:rFonts w:hint="eastAsia"/>
          <w:color w:val="auto"/>
          <w:highlight w:val="none"/>
        </w:rPr>
        <w:t>—</w:t>
      </w:r>
      <w:r>
        <w:rPr>
          <w:rFonts w:cs="Times New Roman"/>
          <w:color w:val="auto"/>
          <w:szCs w:val="21"/>
          <w:highlight w:val="none"/>
        </w:rPr>
        <w:t xml:space="preserve">2002  </w:t>
      </w:r>
      <w:r>
        <w:rPr>
          <w:rFonts w:hint="eastAsia" w:cs="Times New Roman"/>
          <w:color w:val="auto"/>
          <w:szCs w:val="21"/>
          <w:highlight w:val="none"/>
        </w:rPr>
        <w:t>周期检验计数抽样程序及表（适用于对过程稳定性的检验）</w:t>
      </w:r>
    </w:p>
    <w:p>
      <w:pPr>
        <w:widowControl/>
        <w:ind w:left="420"/>
        <w:rPr>
          <w:rFonts w:cs="Times New Roman"/>
          <w:color w:val="auto"/>
          <w:szCs w:val="21"/>
          <w:highlight w:val="none"/>
        </w:rPr>
      </w:pPr>
      <w:r>
        <w:rPr>
          <w:rFonts w:cs="Times New Roman"/>
          <w:color w:val="auto"/>
          <w:szCs w:val="21"/>
          <w:highlight w:val="none"/>
        </w:rPr>
        <w:t xml:space="preserve">GB 4343.1  </w:t>
      </w:r>
      <w:r>
        <w:rPr>
          <w:rFonts w:hint="eastAsia" w:cs="Times New Roman"/>
          <w:color w:val="auto"/>
          <w:szCs w:val="21"/>
          <w:highlight w:val="none"/>
        </w:rPr>
        <w:t>家用电器、电动工具和类似器具的电磁兼容要求</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l</w:t>
      </w:r>
      <w:r>
        <w:rPr>
          <w:rFonts w:hint="eastAsia" w:cs="Times New Roman"/>
          <w:color w:val="auto"/>
          <w:szCs w:val="21"/>
          <w:highlight w:val="none"/>
        </w:rPr>
        <w:t>部分：发射</w:t>
      </w:r>
    </w:p>
    <w:p>
      <w:pPr>
        <w:widowControl/>
        <w:ind w:left="420"/>
        <w:rPr>
          <w:rFonts w:cs="Times New Roman"/>
          <w:color w:val="auto"/>
          <w:szCs w:val="21"/>
          <w:highlight w:val="none"/>
        </w:rPr>
      </w:pPr>
      <w:r>
        <w:rPr>
          <w:rFonts w:cs="Times New Roman"/>
          <w:color w:val="auto"/>
          <w:szCs w:val="21"/>
          <w:highlight w:val="none"/>
        </w:rPr>
        <w:t xml:space="preserve">GB/T 4343.2  </w:t>
      </w:r>
      <w:r>
        <w:rPr>
          <w:rFonts w:hint="eastAsia" w:cs="Times New Roman"/>
          <w:color w:val="auto"/>
          <w:szCs w:val="21"/>
          <w:highlight w:val="none"/>
        </w:rPr>
        <w:t>家用电器、电动工具和类似器具的电磁兼容要求</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2</w:t>
      </w:r>
      <w:r>
        <w:rPr>
          <w:rFonts w:hint="eastAsia" w:cs="Times New Roman"/>
          <w:color w:val="auto"/>
          <w:szCs w:val="21"/>
          <w:highlight w:val="none"/>
        </w:rPr>
        <w:t>部分：抗扰度</w:t>
      </w:r>
    </w:p>
    <w:p>
      <w:pPr>
        <w:widowControl/>
        <w:ind w:left="420"/>
        <w:rPr>
          <w:rFonts w:cs="Times New Roman"/>
          <w:color w:val="auto"/>
          <w:szCs w:val="21"/>
          <w:highlight w:val="none"/>
        </w:rPr>
      </w:pPr>
      <w:r>
        <w:rPr>
          <w:rFonts w:cs="Times New Roman"/>
          <w:color w:val="auto"/>
          <w:szCs w:val="21"/>
          <w:highlight w:val="none"/>
        </w:rPr>
        <w:t xml:space="preserve">GB 4706.1  </w:t>
      </w:r>
      <w:r>
        <w:rPr>
          <w:rFonts w:hint="eastAsia" w:cs="Times New Roman"/>
          <w:color w:val="auto"/>
          <w:szCs w:val="21"/>
          <w:highlight w:val="none"/>
        </w:rPr>
        <w:t>家用和类似用途电器的安全</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l</w:t>
      </w:r>
      <w:r>
        <w:rPr>
          <w:rFonts w:hint="eastAsia" w:cs="Times New Roman"/>
          <w:color w:val="auto"/>
          <w:szCs w:val="21"/>
          <w:highlight w:val="none"/>
        </w:rPr>
        <w:t>部分：通用要求</w:t>
      </w:r>
    </w:p>
    <w:p>
      <w:pPr>
        <w:widowControl/>
        <w:ind w:firstLine="420" w:firstLineChars="200"/>
        <w:rPr>
          <w:rFonts w:cs="Times New Roman"/>
          <w:color w:val="auto"/>
          <w:szCs w:val="21"/>
          <w:highlight w:val="none"/>
        </w:rPr>
      </w:pPr>
      <w:r>
        <w:rPr>
          <w:rFonts w:cs="Times New Roman"/>
          <w:color w:val="auto"/>
          <w:szCs w:val="21"/>
          <w:highlight w:val="none"/>
        </w:rPr>
        <w:t xml:space="preserve">GB 4706.102  </w:t>
      </w:r>
      <w:r>
        <w:rPr>
          <w:rFonts w:hint="eastAsia" w:cs="Times New Roman"/>
          <w:color w:val="auto"/>
          <w:szCs w:val="21"/>
          <w:highlight w:val="none"/>
        </w:rPr>
        <w:t>家用和类似用途电器的安全带嵌装或远置式制冷剂冷凝装置或压缩机的商用制冷器具的特殊要求</w:t>
      </w:r>
    </w:p>
    <w:p>
      <w:pPr>
        <w:widowControl/>
        <w:ind w:firstLine="420" w:firstLineChars="200"/>
        <w:rPr>
          <w:rFonts w:cs="Times New Roman"/>
          <w:color w:val="auto"/>
          <w:szCs w:val="21"/>
          <w:highlight w:val="none"/>
        </w:rPr>
      </w:pPr>
      <w:r>
        <w:rPr>
          <w:rFonts w:cs="Times New Roman"/>
          <w:color w:val="auto"/>
          <w:szCs w:val="21"/>
          <w:highlight w:val="none"/>
        </w:rPr>
        <w:t>GB 4806.1  食品安全国家标准</w:t>
      </w:r>
      <w:r>
        <w:rPr>
          <w:rFonts w:hint="eastAsia" w:cs="Times New Roman"/>
          <w:color w:val="auto"/>
          <w:szCs w:val="21"/>
          <w:highlight w:val="none"/>
        </w:rPr>
        <w:t xml:space="preserve"> </w:t>
      </w:r>
      <w:r>
        <w:rPr>
          <w:rFonts w:cs="Times New Roman"/>
          <w:color w:val="auto"/>
          <w:szCs w:val="21"/>
          <w:highlight w:val="none"/>
        </w:rPr>
        <w:t>食品接触材料及制品通用安全要求</w:t>
      </w:r>
    </w:p>
    <w:p>
      <w:pPr>
        <w:widowControl/>
        <w:ind w:firstLine="420" w:firstLineChars="200"/>
        <w:rPr>
          <w:rFonts w:cs="Times New Roman"/>
          <w:color w:val="auto"/>
          <w:szCs w:val="21"/>
          <w:highlight w:val="none"/>
        </w:rPr>
      </w:pPr>
      <w:r>
        <w:rPr>
          <w:rFonts w:hint="eastAsia" w:cs="Times New Roman"/>
          <w:color w:val="auto"/>
          <w:szCs w:val="21"/>
          <w:highlight w:val="none"/>
        </w:rPr>
        <w:t>GB 4806.5  玻璃制品</w:t>
      </w:r>
    </w:p>
    <w:p>
      <w:pPr>
        <w:widowControl/>
        <w:ind w:firstLine="420" w:firstLineChars="200"/>
        <w:rPr>
          <w:rFonts w:cs="Times New Roman"/>
          <w:color w:val="auto"/>
          <w:szCs w:val="21"/>
          <w:highlight w:val="none"/>
        </w:rPr>
      </w:pPr>
      <w:r>
        <w:rPr>
          <w:rFonts w:hint="eastAsia" w:cs="Times New Roman"/>
          <w:color w:val="auto"/>
          <w:szCs w:val="21"/>
          <w:highlight w:val="none"/>
        </w:rPr>
        <w:t>GB 4806.7  食品安全国家标准 食品接触用塑料材料及制品</w:t>
      </w:r>
    </w:p>
    <w:p>
      <w:pPr>
        <w:widowControl/>
        <w:ind w:firstLine="420" w:firstLineChars="200"/>
        <w:rPr>
          <w:rFonts w:cs="Times New Roman"/>
          <w:color w:val="auto"/>
          <w:szCs w:val="21"/>
          <w:highlight w:val="none"/>
        </w:rPr>
      </w:pPr>
      <w:r>
        <w:rPr>
          <w:rFonts w:cs="Times New Roman"/>
          <w:color w:val="auto"/>
          <w:szCs w:val="21"/>
          <w:highlight w:val="none"/>
        </w:rPr>
        <w:t>GB 4806.9  食品安全国家标准</w:t>
      </w:r>
      <w:r>
        <w:rPr>
          <w:rFonts w:hint="eastAsia" w:cs="Times New Roman"/>
          <w:color w:val="auto"/>
          <w:szCs w:val="21"/>
          <w:highlight w:val="none"/>
        </w:rPr>
        <w:t xml:space="preserve"> </w:t>
      </w:r>
      <w:r>
        <w:rPr>
          <w:rFonts w:cs="Times New Roman"/>
          <w:color w:val="auto"/>
          <w:szCs w:val="21"/>
          <w:highlight w:val="none"/>
        </w:rPr>
        <w:t>食品接触用金属材料及制品</w:t>
      </w:r>
    </w:p>
    <w:p>
      <w:pPr>
        <w:widowControl/>
        <w:ind w:firstLine="420" w:firstLineChars="200"/>
        <w:rPr>
          <w:rFonts w:cs="Times New Roman"/>
          <w:color w:val="auto"/>
          <w:szCs w:val="21"/>
          <w:highlight w:val="none"/>
        </w:rPr>
      </w:pPr>
      <w:r>
        <w:rPr>
          <w:rFonts w:hint="eastAsia" w:cs="Times New Roman"/>
          <w:color w:val="auto"/>
          <w:szCs w:val="21"/>
          <w:highlight w:val="none"/>
        </w:rPr>
        <w:t>GB 4806.10  食品接触用涂料及涂层</w:t>
      </w:r>
    </w:p>
    <w:p>
      <w:pPr>
        <w:widowControl/>
        <w:ind w:left="420"/>
        <w:rPr>
          <w:rFonts w:cs="Times New Roman"/>
          <w:color w:val="auto"/>
          <w:szCs w:val="21"/>
          <w:highlight w:val="none"/>
        </w:rPr>
      </w:pPr>
      <w:r>
        <w:rPr>
          <w:rFonts w:cs="Times New Roman"/>
          <w:color w:val="auto"/>
          <w:szCs w:val="21"/>
          <w:highlight w:val="none"/>
        </w:rPr>
        <w:t xml:space="preserve">GB 17625.1  </w:t>
      </w:r>
      <w:r>
        <w:rPr>
          <w:rFonts w:hint="eastAsia" w:cs="Times New Roman"/>
          <w:color w:val="auto"/>
          <w:szCs w:val="21"/>
          <w:highlight w:val="none"/>
        </w:rPr>
        <w:t>电磁兼容</w:t>
      </w:r>
      <w:r>
        <w:rPr>
          <w:rFonts w:cs="Times New Roman"/>
          <w:color w:val="auto"/>
          <w:szCs w:val="21"/>
          <w:highlight w:val="none"/>
        </w:rPr>
        <w:t xml:space="preserve"> </w:t>
      </w:r>
      <w:r>
        <w:rPr>
          <w:rFonts w:hint="eastAsia" w:cs="Times New Roman"/>
          <w:color w:val="auto"/>
          <w:szCs w:val="21"/>
          <w:highlight w:val="none"/>
        </w:rPr>
        <w:t>限值</w:t>
      </w:r>
      <w:r>
        <w:rPr>
          <w:rFonts w:cs="Times New Roman"/>
          <w:color w:val="auto"/>
          <w:szCs w:val="21"/>
          <w:highlight w:val="none"/>
        </w:rPr>
        <w:t xml:space="preserve"> </w:t>
      </w:r>
      <w:r>
        <w:rPr>
          <w:rFonts w:hint="eastAsia" w:cs="Times New Roman"/>
          <w:color w:val="auto"/>
          <w:szCs w:val="21"/>
          <w:highlight w:val="none"/>
        </w:rPr>
        <w:t>谐波电流发射限值</w:t>
      </w:r>
      <w:r>
        <w:rPr>
          <w:rFonts w:cs="Times New Roman"/>
          <w:color w:val="auto"/>
          <w:szCs w:val="21"/>
          <w:highlight w:val="none"/>
        </w:rPr>
        <w:t>(</w:t>
      </w:r>
      <w:r>
        <w:rPr>
          <w:rFonts w:hint="eastAsia" w:cs="Times New Roman"/>
          <w:color w:val="auto"/>
          <w:szCs w:val="21"/>
          <w:highlight w:val="none"/>
        </w:rPr>
        <w:t>设备每相输入电流</w:t>
      </w:r>
      <w:r>
        <w:rPr>
          <w:rFonts w:hint="eastAsia" w:hAnsi="宋体" w:cs="宋体"/>
          <w:color w:val="auto"/>
          <w:szCs w:val="21"/>
          <w:highlight w:val="none"/>
        </w:rPr>
        <w:t>≤</w:t>
      </w:r>
      <w:r>
        <w:rPr>
          <w:rFonts w:cs="Times New Roman"/>
          <w:color w:val="auto"/>
          <w:szCs w:val="21"/>
          <w:highlight w:val="none"/>
        </w:rPr>
        <w:t>16A)</w:t>
      </w:r>
    </w:p>
    <w:p>
      <w:pPr>
        <w:widowControl/>
        <w:ind w:left="420"/>
        <w:rPr>
          <w:rFonts w:cs="Times New Roman"/>
          <w:color w:val="auto"/>
          <w:szCs w:val="21"/>
          <w:highlight w:val="none"/>
        </w:rPr>
      </w:pPr>
      <w:r>
        <w:rPr>
          <w:rFonts w:cs="Times New Roman"/>
          <w:color w:val="auto"/>
          <w:szCs w:val="21"/>
          <w:highlight w:val="none"/>
        </w:rPr>
        <w:t>GB/T 21001.1</w:t>
      </w:r>
      <w:r>
        <w:rPr>
          <w:rFonts w:hint="eastAsia"/>
          <w:color w:val="auto"/>
          <w:highlight w:val="none"/>
        </w:rPr>
        <w:t>—</w:t>
      </w:r>
      <w:r>
        <w:rPr>
          <w:rFonts w:cs="Times New Roman"/>
          <w:color w:val="auto"/>
          <w:szCs w:val="21"/>
          <w:highlight w:val="none"/>
        </w:rPr>
        <w:t xml:space="preserve">2015  </w:t>
      </w:r>
      <w:r>
        <w:rPr>
          <w:rFonts w:hint="eastAsia" w:cs="Times New Roman"/>
          <w:color w:val="auto"/>
          <w:szCs w:val="21"/>
          <w:highlight w:val="none"/>
        </w:rPr>
        <w:t>制冷陈列柜</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1</w:t>
      </w:r>
      <w:r>
        <w:rPr>
          <w:rFonts w:hint="eastAsia" w:cs="Times New Roman"/>
          <w:color w:val="auto"/>
          <w:szCs w:val="21"/>
          <w:highlight w:val="none"/>
        </w:rPr>
        <w:t>部分：术语</w:t>
      </w:r>
    </w:p>
    <w:p>
      <w:pPr>
        <w:widowControl/>
        <w:ind w:left="420"/>
        <w:rPr>
          <w:rFonts w:cs="Times New Roman"/>
          <w:color w:val="auto"/>
          <w:szCs w:val="21"/>
          <w:highlight w:val="none"/>
        </w:rPr>
      </w:pPr>
      <w:r>
        <w:rPr>
          <w:rFonts w:cs="Times New Roman"/>
          <w:color w:val="auto"/>
          <w:szCs w:val="21"/>
          <w:highlight w:val="none"/>
        </w:rPr>
        <w:t>GB/T 21001.2</w:t>
      </w:r>
      <w:r>
        <w:rPr>
          <w:rFonts w:hint="eastAsia"/>
          <w:color w:val="auto"/>
          <w:highlight w:val="none"/>
        </w:rPr>
        <w:t>—</w:t>
      </w:r>
      <w:r>
        <w:rPr>
          <w:rFonts w:cs="Times New Roman"/>
          <w:color w:val="auto"/>
          <w:szCs w:val="21"/>
          <w:highlight w:val="none"/>
        </w:rPr>
        <w:t xml:space="preserve">2015  </w:t>
      </w:r>
      <w:r>
        <w:rPr>
          <w:rFonts w:hint="eastAsia" w:cs="Times New Roman"/>
          <w:color w:val="auto"/>
          <w:szCs w:val="21"/>
          <w:highlight w:val="none"/>
        </w:rPr>
        <w:t>制冷陈列柜</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2</w:t>
      </w:r>
      <w:r>
        <w:rPr>
          <w:rFonts w:hint="eastAsia" w:cs="Times New Roman"/>
          <w:color w:val="auto"/>
          <w:szCs w:val="21"/>
          <w:highlight w:val="none"/>
        </w:rPr>
        <w:t>部分：分类、要求和试验条件</w:t>
      </w:r>
    </w:p>
    <w:p>
      <w:pPr>
        <w:widowControl/>
        <w:ind w:left="420"/>
        <w:rPr>
          <w:rFonts w:cs="Times New Roman"/>
          <w:color w:val="auto"/>
          <w:szCs w:val="21"/>
          <w:highlight w:val="none"/>
        </w:rPr>
      </w:pPr>
      <w:r>
        <w:rPr>
          <w:rFonts w:cs="Times New Roman"/>
          <w:color w:val="auto"/>
          <w:szCs w:val="21"/>
          <w:highlight w:val="none"/>
        </w:rPr>
        <w:t>GB/T 21001.</w:t>
      </w:r>
      <w:r>
        <w:rPr>
          <w:rFonts w:hint="eastAsia" w:cs="Times New Roman"/>
          <w:color w:val="auto"/>
          <w:szCs w:val="21"/>
          <w:highlight w:val="none"/>
        </w:rPr>
        <w:t>3</w:t>
      </w:r>
      <w:r>
        <w:rPr>
          <w:rFonts w:hint="eastAsia"/>
          <w:color w:val="auto"/>
          <w:highlight w:val="none"/>
        </w:rPr>
        <w:t>—</w:t>
      </w:r>
      <w:r>
        <w:rPr>
          <w:rFonts w:cs="Times New Roman"/>
          <w:color w:val="auto"/>
          <w:szCs w:val="21"/>
          <w:highlight w:val="none"/>
        </w:rPr>
        <w:t>2015</w:t>
      </w:r>
      <w:r>
        <w:rPr>
          <w:rFonts w:hint="eastAsia" w:cs="Times New Roman"/>
          <w:color w:val="auto"/>
          <w:szCs w:val="21"/>
          <w:highlight w:val="none"/>
        </w:rPr>
        <w:t xml:space="preserve">  制冷陈列柜 第3部分：试验评定</w:t>
      </w:r>
    </w:p>
    <w:p>
      <w:pPr>
        <w:widowControl/>
        <w:ind w:left="420"/>
        <w:rPr>
          <w:rFonts w:cs="Times New Roman"/>
          <w:color w:val="auto"/>
          <w:szCs w:val="21"/>
          <w:highlight w:val="none"/>
        </w:rPr>
      </w:pPr>
      <w:r>
        <w:rPr>
          <w:rFonts w:cs="Times New Roman"/>
          <w:color w:val="auto"/>
          <w:szCs w:val="21"/>
          <w:highlight w:val="none"/>
        </w:rPr>
        <w:t xml:space="preserve">GB 21551.1  </w:t>
      </w:r>
      <w:r>
        <w:rPr>
          <w:rFonts w:hint="eastAsia" w:cs="Times New Roman"/>
          <w:color w:val="auto"/>
          <w:szCs w:val="21"/>
          <w:highlight w:val="none"/>
        </w:rPr>
        <w:t>家用和类似用途电器的抗菌、除菌、净化功能通则</w:t>
      </w:r>
    </w:p>
    <w:p>
      <w:pPr>
        <w:widowControl/>
        <w:ind w:left="420"/>
        <w:rPr>
          <w:rFonts w:cs="Times New Roman"/>
          <w:color w:val="auto"/>
          <w:szCs w:val="21"/>
          <w:highlight w:val="none"/>
        </w:rPr>
      </w:pPr>
      <w:r>
        <w:rPr>
          <w:rFonts w:cs="Times New Roman"/>
          <w:color w:val="auto"/>
          <w:szCs w:val="21"/>
          <w:highlight w:val="none"/>
        </w:rPr>
        <w:t xml:space="preserve">GB 21551.2  </w:t>
      </w:r>
      <w:r>
        <w:rPr>
          <w:rFonts w:hint="eastAsia" w:cs="Times New Roman"/>
          <w:color w:val="auto"/>
          <w:szCs w:val="21"/>
          <w:highlight w:val="none"/>
        </w:rPr>
        <w:t>家用和类似用途电器的抗菌、除菌、净化功能抗菌材料的特殊要求</w:t>
      </w:r>
    </w:p>
    <w:p>
      <w:pPr>
        <w:widowControl/>
        <w:ind w:left="420"/>
        <w:rPr>
          <w:rFonts w:cs="Times New Roman"/>
          <w:color w:val="auto"/>
          <w:szCs w:val="21"/>
          <w:highlight w:val="none"/>
        </w:rPr>
      </w:pPr>
      <w:r>
        <w:rPr>
          <w:rFonts w:cs="Times New Roman"/>
          <w:color w:val="auto"/>
          <w:szCs w:val="21"/>
          <w:highlight w:val="none"/>
        </w:rPr>
        <w:t xml:space="preserve">GB 21551.4  </w:t>
      </w:r>
      <w:r>
        <w:rPr>
          <w:rFonts w:hint="eastAsia" w:cs="Times New Roman"/>
          <w:color w:val="auto"/>
          <w:szCs w:val="21"/>
          <w:highlight w:val="none"/>
        </w:rPr>
        <w:t>家用和类似用途电器的抗菌、除菌、净化功能</w:t>
      </w:r>
      <w:r>
        <w:rPr>
          <w:rFonts w:cs="Times New Roman"/>
          <w:color w:val="auto"/>
          <w:szCs w:val="21"/>
          <w:highlight w:val="none"/>
        </w:rPr>
        <w:t xml:space="preserve"> </w:t>
      </w:r>
      <w:r>
        <w:rPr>
          <w:rFonts w:hint="eastAsia" w:cs="Times New Roman"/>
          <w:color w:val="auto"/>
          <w:szCs w:val="21"/>
          <w:highlight w:val="none"/>
        </w:rPr>
        <w:t>电冰箱的特殊要求</w:t>
      </w:r>
    </w:p>
    <w:p>
      <w:pPr>
        <w:widowControl/>
        <w:ind w:firstLine="420" w:firstLineChars="200"/>
        <w:rPr>
          <w:rFonts w:cs="Times New Roman"/>
          <w:color w:val="auto"/>
          <w:szCs w:val="21"/>
          <w:highlight w:val="none"/>
        </w:rPr>
      </w:pPr>
      <w:r>
        <w:rPr>
          <w:rFonts w:cs="Times New Roman"/>
          <w:color w:val="auto"/>
          <w:szCs w:val="21"/>
          <w:highlight w:val="none"/>
        </w:rPr>
        <w:t xml:space="preserve">GB/T 26125  </w:t>
      </w:r>
      <w:r>
        <w:rPr>
          <w:rFonts w:hint="eastAsia" w:cs="Times New Roman"/>
          <w:color w:val="auto"/>
          <w:szCs w:val="21"/>
          <w:highlight w:val="none"/>
        </w:rPr>
        <w:t>电子电气产品</w:t>
      </w:r>
      <w:r>
        <w:rPr>
          <w:rFonts w:cs="Times New Roman"/>
          <w:color w:val="auto"/>
          <w:szCs w:val="21"/>
          <w:highlight w:val="none"/>
        </w:rPr>
        <w:t xml:space="preserve"> </w:t>
      </w:r>
      <w:r>
        <w:rPr>
          <w:rFonts w:hint="eastAsia" w:cs="Times New Roman"/>
          <w:color w:val="auto"/>
          <w:szCs w:val="21"/>
          <w:highlight w:val="none"/>
        </w:rPr>
        <w:t>六种限用物质（铅、汞、镉、六价铬、多溴联苯和多溴二苯醚）的测定</w:t>
      </w:r>
    </w:p>
    <w:p>
      <w:pPr>
        <w:widowControl/>
        <w:ind w:left="420"/>
        <w:rPr>
          <w:rFonts w:cs="Times New Roman"/>
          <w:color w:val="auto"/>
          <w:szCs w:val="21"/>
          <w:highlight w:val="none"/>
        </w:rPr>
      </w:pPr>
      <w:r>
        <w:rPr>
          <w:rFonts w:cs="Times New Roman"/>
          <w:color w:val="auto"/>
          <w:szCs w:val="21"/>
          <w:highlight w:val="none"/>
        </w:rPr>
        <w:t xml:space="preserve">GB/T 26572  </w:t>
      </w:r>
      <w:r>
        <w:rPr>
          <w:rFonts w:hint="eastAsia" w:cs="Times New Roman"/>
          <w:color w:val="auto"/>
          <w:szCs w:val="21"/>
          <w:highlight w:val="none"/>
        </w:rPr>
        <w:t>电子电气产品中限用物质的限量要求</w:t>
      </w:r>
    </w:p>
    <w:p>
      <w:pPr>
        <w:widowControl/>
        <w:ind w:left="420"/>
        <w:rPr>
          <w:rFonts w:cs="Times New Roman"/>
          <w:color w:val="auto"/>
          <w:szCs w:val="21"/>
          <w:highlight w:val="none"/>
        </w:rPr>
      </w:pPr>
      <w:r>
        <w:rPr>
          <w:rFonts w:cs="Times New Roman"/>
          <w:color w:val="auto"/>
          <w:szCs w:val="21"/>
          <w:highlight w:val="none"/>
        </w:rPr>
        <w:t xml:space="preserve">GB 26920.2  </w:t>
      </w:r>
      <w:r>
        <w:rPr>
          <w:rFonts w:hint="eastAsia" w:cs="Times New Roman"/>
          <w:color w:val="auto"/>
          <w:szCs w:val="21"/>
          <w:highlight w:val="none"/>
        </w:rPr>
        <w:t>商用制冷器具能效限定值及能效等级</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2</w:t>
      </w:r>
      <w:r>
        <w:rPr>
          <w:rFonts w:hint="eastAsia" w:cs="Times New Roman"/>
          <w:color w:val="auto"/>
          <w:szCs w:val="21"/>
          <w:highlight w:val="none"/>
        </w:rPr>
        <w:t>部分：自携冷凝机组商用冷柜</w:t>
      </w:r>
    </w:p>
    <w:p>
      <w:pPr>
        <w:widowControl/>
        <w:ind w:left="420"/>
        <w:rPr>
          <w:rFonts w:cs="Times New Roman"/>
          <w:color w:val="auto"/>
          <w:szCs w:val="21"/>
          <w:highlight w:val="none"/>
        </w:rPr>
      </w:pPr>
      <w:r>
        <w:rPr>
          <w:rFonts w:hint="eastAsia" w:cs="Times New Roman"/>
          <w:color w:val="auto"/>
          <w:szCs w:val="21"/>
          <w:highlight w:val="none"/>
        </w:rPr>
        <w:t>SB/T 10794.2—2012  商用冷柜  第2部分：分类、要求和试验条件</w:t>
      </w:r>
    </w:p>
    <w:p>
      <w:pPr>
        <w:widowControl/>
        <w:ind w:left="420"/>
        <w:rPr>
          <w:rFonts w:cs="Times New Roman"/>
          <w:color w:val="auto"/>
          <w:szCs w:val="21"/>
          <w:highlight w:val="none"/>
        </w:rPr>
      </w:pPr>
      <w:r>
        <w:rPr>
          <w:rFonts w:hint="eastAsia"/>
          <w:color w:val="auto"/>
          <w:highlight w:val="none"/>
        </w:rPr>
        <w:t>SB/T 1079</w:t>
      </w:r>
      <w:r>
        <w:rPr>
          <w:rFonts w:hint="eastAsia" w:cs="Times New Roman"/>
          <w:color w:val="auto"/>
          <w:szCs w:val="21"/>
          <w:highlight w:val="none"/>
        </w:rPr>
        <w:t>4.3—2012  商用冷柜 第3部分：饮料冷藏陈列柜</w:t>
      </w:r>
      <w:bookmarkEnd w:id="5"/>
    </w:p>
    <w:p>
      <w:pPr>
        <w:pStyle w:val="117"/>
        <w:spacing w:before="312" w:after="312"/>
        <w:rPr>
          <w:color w:val="auto"/>
          <w:highlight w:val="none"/>
        </w:rPr>
      </w:pPr>
      <w:bookmarkStart w:id="6" w:name="_Toc97195093"/>
      <w:bookmarkStart w:id="7" w:name="_Hlk130722279"/>
      <w:r>
        <w:rPr>
          <w:rFonts w:hint="eastAsia"/>
          <w:color w:val="auto"/>
          <w:szCs w:val="21"/>
          <w:highlight w:val="none"/>
        </w:rPr>
        <w:t>术语和定义</w:t>
      </w:r>
      <w:bookmarkEnd w:id="6"/>
    </w:p>
    <w:sdt>
      <w:sdtPr>
        <w:rPr>
          <w:rFonts w:hint="eastAsia"/>
          <w:color w:val="auto"/>
          <w:highlight w:val="none"/>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highlight w:val="none"/>
        </w:rPr>
      </w:sdtEndPr>
      <w:sdtContent>
        <w:p>
          <w:pPr>
            <w:pStyle w:val="23"/>
            <w:ind w:firstLine="420"/>
            <w:rPr>
              <w:color w:val="auto"/>
              <w:highlight w:val="none"/>
            </w:rPr>
          </w:pPr>
          <w:bookmarkStart w:id="8" w:name="_Toc26986532"/>
          <w:bookmarkEnd w:id="8"/>
          <w:r>
            <w:rPr>
              <w:color w:val="auto"/>
              <w:w w:val="105"/>
              <w:highlight w:val="none"/>
            </w:rPr>
            <w:t>GB/T</w:t>
          </w:r>
          <w:r>
            <w:rPr>
              <w:color w:val="auto"/>
              <w:spacing w:val="-55"/>
              <w:w w:val="105"/>
              <w:highlight w:val="none"/>
            </w:rPr>
            <w:t xml:space="preserve"> </w:t>
          </w:r>
          <w:r>
            <w:rPr>
              <w:color w:val="auto"/>
              <w:w w:val="105"/>
              <w:highlight w:val="none"/>
            </w:rPr>
            <w:t>21001.1</w:t>
          </w:r>
          <w:r>
            <w:rPr>
              <w:rFonts w:hint="eastAsia"/>
              <w:color w:val="auto"/>
              <w:w w:val="105"/>
              <w:highlight w:val="none"/>
            </w:rPr>
            <w:t>—2015、</w:t>
          </w:r>
          <w:r>
            <w:rPr>
              <w:color w:val="auto"/>
              <w:w w:val="105"/>
              <w:highlight w:val="none"/>
            </w:rPr>
            <w:t>GB/T</w:t>
          </w:r>
          <w:r>
            <w:rPr>
              <w:color w:val="auto"/>
              <w:spacing w:val="-55"/>
              <w:w w:val="105"/>
              <w:highlight w:val="none"/>
            </w:rPr>
            <w:t xml:space="preserve"> </w:t>
          </w:r>
          <w:r>
            <w:rPr>
              <w:color w:val="auto"/>
              <w:w w:val="105"/>
              <w:highlight w:val="none"/>
            </w:rPr>
            <w:t>21001.</w:t>
          </w:r>
          <w:r>
            <w:rPr>
              <w:rFonts w:hint="eastAsia"/>
              <w:color w:val="auto"/>
              <w:w w:val="105"/>
              <w:highlight w:val="none"/>
            </w:rPr>
            <w:t>2—2015、</w:t>
          </w:r>
          <w:bookmarkStart w:id="9" w:name="OLE_LINK15"/>
          <w:r>
            <w:rPr>
              <w:color w:val="auto"/>
              <w:w w:val="105"/>
              <w:highlight w:val="none"/>
            </w:rPr>
            <w:t>GB/T</w:t>
          </w:r>
          <w:r>
            <w:rPr>
              <w:color w:val="auto"/>
              <w:spacing w:val="-55"/>
              <w:w w:val="105"/>
              <w:highlight w:val="none"/>
            </w:rPr>
            <w:t xml:space="preserve"> </w:t>
          </w:r>
          <w:r>
            <w:rPr>
              <w:color w:val="auto"/>
              <w:w w:val="105"/>
              <w:highlight w:val="none"/>
            </w:rPr>
            <w:t>21001.</w:t>
          </w:r>
          <w:r>
            <w:rPr>
              <w:rFonts w:hint="eastAsia"/>
              <w:color w:val="auto"/>
              <w:w w:val="105"/>
              <w:highlight w:val="none"/>
            </w:rPr>
            <w:t>3—2015</w:t>
          </w:r>
          <w:bookmarkEnd w:id="9"/>
          <w:r>
            <w:rPr>
              <w:rFonts w:hint="eastAsia"/>
              <w:color w:val="auto"/>
              <w:highlight w:val="none"/>
            </w:rPr>
            <w:t>界定的以及下列术语和定义适用于本文件。</w:t>
          </w:r>
        </w:p>
      </w:sdtContent>
    </w:sdt>
    <w:p>
      <w:pPr>
        <w:pStyle w:val="119"/>
        <w:spacing w:before="156" w:after="156"/>
        <w:rPr>
          <w:rFonts w:hAnsi="黑体"/>
          <w:color w:val="auto"/>
          <w:szCs w:val="21"/>
          <w:highlight w:val="none"/>
        </w:rPr>
      </w:pPr>
      <w:r>
        <w:rPr>
          <w:rFonts w:hint="eastAsia" w:hAnsi="黑体"/>
          <w:color w:val="auto"/>
          <w:szCs w:val="21"/>
          <w:highlight w:val="none"/>
        </w:rPr>
        <w:tab/>
      </w:r>
    </w:p>
    <w:p>
      <w:pPr>
        <w:pStyle w:val="23"/>
        <w:ind w:firstLine="420"/>
        <w:rPr>
          <w:rFonts w:ascii="黑体" w:hAnsi="黑体" w:eastAsia="黑体"/>
          <w:color w:val="auto"/>
          <w:highlight w:val="none"/>
        </w:rPr>
      </w:pPr>
      <w:r>
        <w:rPr>
          <w:rFonts w:hint="eastAsia" w:ascii="黑体" w:hAnsi="黑体" w:eastAsia="黑体"/>
          <w:color w:val="auto"/>
          <w:highlight w:val="none"/>
        </w:rPr>
        <w:t>制冷陈列柜 refrigerated display cabinets</w:t>
      </w:r>
    </w:p>
    <w:p>
      <w:pPr>
        <w:pStyle w:val="23"/>
        <w:ind w:firstLine="420"/>
        <w:rPr>
          <w:color w:val="auto"/>
          <w:highlight w:val="none"/>
        </w:rPr>
      </w:pPr>
      <w:r>
        <w:rPr>
          <w:rFonts w:hint="eastAsia"/>
          <w:color w:val="auto"/>
          <w:highlight w:val="none"/>
        </w:rPr>
        <w:t>由制冷系统冷却的陈列柜。可存放、陈列冷藏和冷冻食品,并使存放的食品温度保持在规定的范</w:t>
      </w:r>
    </w:p>
    <w:p>
      <w:pPr>
        <w:pStyle w:val="23"/>
        <w:ind w:firstLine="0" w:firstLineChars="0"/>
        <w:rPr>
          <w:color w:val="auto"/>
          <w:highlight w:val="none"/>
        </w:rPr>
      </w:pPr>
      <w:r>
        <w:rPr>
          <w:rFonts w:hint="eastAsia"/>
          <w:color w:val="auto"/>
          <w:highlight w:val="none"/>
        </w:rPr>
        <w:t>围内。</w:t>
      </w:r>
    </w:p>
    <w:p>
      <w:pPr>
        <w:pStyle w:val="119"/>
        <w:spacing w:before="156" w:after="156"/>
        <w:rPr>
          <w:rFonts w:hAnsi="黑体"/>
          <w:color w:val="auto"/>
          <w:szCs w:val="21"/>
          <w:highlight w:val="none"/>
        </w:rPr>
      </w:pPr>
    </w:p>
    <w:p>
      <w:pPr>
        <w:pStyle w:val="119"/>
        <w:numPr>
          <w:ilvl w:val="1"/>
          <w:numId w:val="0"/>
        </w:numPr>
        <w:spacing w:beforeLines="0" w:afterLines="0"/>
        <w:ind w:firstLine="408" w:firstLineChars="200"/>
        <w:rPr>
          <w:color w:val="auto"/>
          <w:w w:val="105"/>
          <w:highlight w:val="none"/>
        </w:rPr>
      </w:pPr>
      <w:r>
        <w:rPr>
          <w:color w:val="auto"/>
          <w:spacing w:val="-3"/>
          <w:highlight w:val="none"/>
        </w:rPr>
        <w:t>冷藏陈列</w:t>
      </w:r>
      <w:r>
        <w:rPr>
          <w:color w:val="auto"/>
          <w:w w:val="105"/>
          <w:highlight w:val="none"/>
        </w:rPr>
        <w:t xml:space="preserve">柜 </w:t>
      </w:r>
      <w:r>
        <w:rPr>
          <w:rFonts w:hint="eastAsia"/>
          <w:color w:val="auto"/>
          <w:w w:val="105"/>
          <w:highlight w:val="none"/>
        </w:rPr>
        <w:t xml:space="preserve"> cold refrigerated display cabinets</w:t>
      </w:r>
    </w:p>
    <w:p>
      <w:pPr>
        <w:ind w:firstLine="440" w:firstLineChars="200"/>
        <w:rPr>
          <w:color w:val="auto"/>
          <w:w w:val="105"/>
          <w:highlight w:val="none"/>
        </w:rPr>
      </w:pPr>
      <w:r>
        <w:rPr>
          <w:color w:val="auto"/>
          <w:w w:val="105"/>
          <w:highlight w:val="none"/>
        </w:rPr>
        <w:t>用于</w:t>
      </w:r>
      <w:r>
        <w:rPr>
          <w:rFonts w:hint="eastAsia"/>
          <w:color w:val="auto"/>
          <w:w w:val="105"/>
          <w:highlight w:val="none"/>
        </w:rPr>
        <w:t>存放、陈列</w:t>
      </w:r>
      <w:r>
        <w:rPr>
          <w:color w:val="auto"/>
          <w:w w:val="105"/>
          <w:highlight w:val="none"/>
        </w:rPr>
        <w:t>不需要冻</w:t>
      </w:r>
      <w:r>
        <w:rPr>
          <w:rFonts w:hint="eastAsia"/>
          <w:color w:val="auto"/>
          <w:w w:val="105"/>
          <w:highlight w:val="none"/>
        </w:rPr>
        <w:t>结</w:t>
      </w:r>
      <w:r>
        <w:rPr>
          <w:color w:val="auto"/>
          <w:w w:val="105"/>
          <w:highlight w:val="none"/>
        </w:rPr>
        <w:t>食品的制冷陈列柜。</w:t>
      </w:r>
    </w:p>
    <w:p>
      <w:pPr>
        <w:pStyle w:val="119"/>
        <w:spacing w:before="156" w:after="156"/>
        <w:rPr>
          <w:rFonts w:hAnsi="黑体"/>
          <w:color w:val="auto"/>
          <w:szCs w:val="21"/>
          <w:highlight w:val="none"/>
        </w:rPr>
      </w:pPr>
      <w:r>
        <w:rPr>
          <w:rFonts w:hAnsi="黑体"/>
          <w:color w:val="auto"/>
          <w:szCs w:val="21"/>
          <w:highlight w:val="none"/>
        </w:rPr>
        <w:tab/>
      </w:r>
    </w:p>
    <w:p>
      <w:pPr>
        <w:pStyle w:val="119"/>
        <w:numPr>
          <w:ilvl w:val="1"/>
          <w:numId w:val="0"/>
        </w:numPr>
        <w:spacing w:beforeLines="0" w:afterLines="0"/>
        <w:ind w:firstLine="408" w:firstLineChars="200"/>
        <w:rPr>
          <w:color w:val="auto"/>
          <w:w w:val="105"/>
          <w:highlight w:val="none"/>
        </w:rPr>
      </w:pPr>
      <w:r>
        <w:rPr>
          <w:color w:val="auto"/>
          <w:spacing w:val="-3"/>
          <w:highlight w:val="none"/>
        </w:rPr>
        <w:t>冷</w:t>
      </w:r>
      <w:r>
        <w:rPr>
          <w:color w:val="auto"/>
          <w:w w:val="105"/>
          <w:highlight w:val="none"/>
        </w:rPr>
        <w:t>冻</w:t>
      </w:r>
      <w:r>
        <w:rPr>
          <w:color w:val="auto"/>
          <w:spacing w:val="-3"/>
          <w:highlight w:val="none"/>
        </w:rPr>
        <w:t>陈</w:t>
      </w:r>
      <w:r>
        <w:rPr>
          <w:color w:val="auto"/>
          <w:w w:val="105"/>
          <w:highlight w:val="none"/>
        </w:rPr>
        <w:t xml:space="preserve">列柜 </w:t>
      </w:r>
      <w:r>
        <w:rPr>
          <w:rFonts w:hint="eastAsia"/>
          <w:color w:val="auto"/>
          <w:w w:val="105"/>
          <w:highlight w:val="none"/>
        </w:rPr>
        <w:t xml:space="preserve"> </w:t>
      </w:r>
      <w:r>
        <w:rPr>
          <w:color w:val="auto"/>
          <w:w w:val="105"/>
          <w:highlight w:val="none"/>
        </w:rPr>
        <w:t>freezing</w:t>
      </w:r>
      <w:r>
        <w:rPr>
          <w:rFonts w:hint="eastAsia"/>
          <w:color w:val="auto"/>
          <w:w w:val="105"/>
          <w:highlight w:val="none"/>
        </w:rPr>
        <w:t xml:space="preserve"> refrigerated display cabinets</w:t>
      </w:r>
    </w:p>
    <w:p>
      <w:pPr>
        <w:ind w:firstLine="440" w:firstLineChars="200"/>
        <w:rPr>
          <w:color w:val="auto"/>
          <w:szCs w:val="21"/>
          <w:highlight w:val="none"/>
        </w:rPr>
      </w:pPr>
      <w:r>
        <w:rPr>
          <w:color w:val="auto"/>
          <w:w w:val="105"/>
          <w:highlight w:val="none"/>
        </w:rPr>
        <w:t>全部间室用于</w:t>
      </w:r>
      <w:r>
        <w:rPr>
          <w:rFonts w:hint="eastAsia"/>
          <w:color w:val="auto"/>
          <w:w w:val="105"/>
          <w:highlight w:val="none"/>
        </w:rPr>
        <w:t>存放、陈列</w:t>
      </w:r>
      <w:r>
        <w:rPr>
          <w:color w:val="auto"/>
          <w:w w:val="105"/>
          <w:highlight w:val="none"/>
        </w:rPr>
        <w:t>冷冻食品，其中至少有一个间室适用于-18℃及以下冷冻新鲜食品和</w:t>
      </w:r>
      <w:r>
        <w:rPr>
          <w:rFonts w:hint="eastAsia"/>
          <w:color w:val="auto"/>
          <w:w w:val="105"/>
          <w:highlight w:val="none"/>
        </w:rPr>
        <w:t>存放、陈列</w:t>
      </w:r>
      <w:r>
        <w:rPr>
          <w:color w:val="auto"/>
          <w:w w:val="105"/>
          <w:highlight w:val="none"/>
        </w:rPr>
        <w:t>冷冻食品且具有冷冻能力的制冷陈列柜。</w:t>
      </w:r>
    </w:p>
    <w:p>
      <w:pPr>
        <w:pStyle w:val="119"/>
        <w:spacing w:before="156" w:after="156"/>
        <w:rPr>
          <w:rFonts w:hAnsi="黑体"/>
          <w:color w:val="auto"/>
          <w:szCs w:val="21"/>
          <w:highlight w:val="none"/>
        </w:rPr>
      </w:pPr>
      <w:r>
        <w:rPr>
          <w:rFonts w:hAnsi="黑体"/>
          <w:color w:val="auto"/>
          <w:szCs w:val="21"/>
          <w:highlight w:val="none"/>
        </w:rPr>
        <w:tab/>
      </w:r>
    </w:p>
    <w:p>
      <w:pPr>
        <w:pStyle w:val="119"/>
        <w:numPr>
          <w:ilvl w:val="1"/>
          <w:numId w:val="0"/>
        </w:numPr>
        <w:spacing w:beforeLines="0" w:afterLines="0"/>
        <w:ind w:firstLine="440" w:firstLineChars="200"/>
        <w:rPr>
          <w:color w:val="auto"/>
          <w:w w:val="105"/>
          <w:highlight w:val="none"/>
        </w:rPr>
      </w:pPr>
      <w:r>
        <w:rPr>
          <w:color w:val="auto"/>
          <w:w w:val="105"/>
          <w:highlight w:val="none"/>
        </w:rPr>
        <w:t>冷藏冷冻陈列柜</w:t>
      </w:r>
      <w:r>
        <w:rPr>
          <w:rFonts w:hint="eastAsia"/>
          <w:color w:val="auto"/>
          <w:w w:val="105"/>
          <w:highlight w:val="none"/>
        </w:rPr>
        <w:t xml:space="preserve"> cold and </w:t>
      </w:r>
      <w:r>
        <w:rPr>
          <w:color w:val="auto"/>
          <w:w w:val="105"/>
          <w:highlight w:val="none"/>
        </w:rPr>
        <w:t>freezing</w:t>
      </w:r>
      <w:r>
        <w:rPr>
          <w:rFonts w:hint="eastAsia"/>
          <w:color w:val="auto"/>
          <w:w w:val="105"/>
          <w:highlight w:val="none"/>
        </w:rPr>
        <w:t xml:space="preserve"> refrigerated display cabinets</w:t>
      </w:r>
    </w:p>
    <w:p>
      <w:pPr>
        <w:ind w:firstLine="440" w:firstLineChars="200"/>
        <w:rPr>
          <w:color w:val="auto"/>
          <w:w w:val="105"/>
          <w:highlight w:val="none"/>
        </w:rPr>
      </w:pPr>
      <w:r>
        <w:rPr>
          <w:color w:val="auto"/>
          <w:w w:val="105"/>
          <w:highlight w:val="none"/>
        </w:rPr>
        <w:t>至少有一个间室为冷藏室，适用于</w:t>
      </w:r>
      <w:r>
        <w:rPr>
          <w:rFonts w:hint="eastAsia"/>
          <w:color w:val="auto"/>
          <w:w w:val="105"/>
          <w:highlight w:val="none"/>
        </w:rPr>
        <w:t>存放、陈列</w:t>
      </w:r>
      <w:r>
        <w:rPr>
          <w:color w:val="auto"/>
          <w:w w:val="105"/>
          <w:highlight w:val="none"/>
        </w:rPr>
        <w:t>不需冷冻的食品，且至少有另一个间室为冷冻室，适用于需要-18℃及以下冷冻新鲜食品和</w:t>
      </w:r>
      <w:r>
        <w:rPr>
          <w:rFonts w:hint="eastAsia"/>
          <w:color w:val="auto"/>
          <w:w w:val="105"/>
          <w:highlight w:val="none"/>
        </w:rPr>
        <w:t>存放、陈列</w:t>
      </w:r>
      <w:r>
        <w:rPr>
          <w:color w:val="auto"/>
          <w:w w:val="105"/>
          <w:highlight w:val="none"/>
        </w:rPr>
        <w:t>冷冻食品</w:t>
      </w:r>
      <w:r>
        <w:rPr>
          <w:strike/>
          <w:color w:val="auto"/>
          <w:w w:val="105"/>
          <w:highlight w:val="none"/>
        </w:rPr>
        <w:t>并</w:t>
      </w:r>
      <w:r>
        <w:rPr>
          <w:color w:val="auto"/>
          <w:w w:val="105"/>
          <w:highlight w:val="none"/>
        </w:rPr>
        <w:t>且具有冷冻能力的制冷陈列柜。</w:t>
      </w:r>
    </w:p>
    <w:p>
      <w:pPr>
        <w:pStyle w:val="119"/>
        <w:spacing w:before="156" w:after="156"/>
        <w:rPr>
          <w:color w:val="auto"/>
          <w:highlight w:val="none"/>
        </w:rPr>
      </w:pPr>
    </w:p>
    <w:p>
      <w:pPr>
        <w:pStyle w:val="119"/>
        <w:numPr>
          <w:ilvl w:val="0"/>
          <w:numId w:val="0"/>
        </w:numPr>
        <w:spacing w:beforeLines="0" w:afterLines="0"/>
        <w:ind w:firstLine="420" w:firstLineChars="200"/>
        <w:rPr>
          <w:color w:val="auto"/>
          <w:highlight w:val="none"/>
        </w:rPr>
      </w:pPr>
      <w:r>
        <w:rPr>
          <w:rFonts w:hint="eastAsia"/>
          <w:color w:val="auto"/>
          <w:highlight w:val="none"/>
        </w:rPr>
        <w:t>饮料冷藏陈列柜 beverage refrigerated display cabinets</w:t>
      </w:r>
    </w:p>
    <w:p>
      <w:pPr>
        <w:ind w:firstLine="420"/>
        <w:rPr>
          <w:color w:val="auto"/>
          <w:szCs w:val="21"/>
          <w:highlight w:val="none"/>
        </w:rPr>
      </w:pPr>
      <w:r>
        <w:rPr>
          <w:rFonts w:hint="eastAsia"/>
          <w:color w:val="auto"/>
          <w:szCs w:val="21"/>
          <w:highlight w:val="none"/>
        </w:rPr>
        <w:t>用于</w:t>
      </w:r>
      <w:r>
        <w:rPr>
          <w:rFonts w:hint="eastAsia"/>
          <w:color w:val="auto"/>
          <w:w w:val="105"/>
          <w:highlight w:val="none"/>
        </w:rPr>
        <w:t>存放、陈列</w:t>
      </w:r>
      <w:r>
        <w:rPr>
          <w:rFonts w:hint="eastAsia"/>
          <w:color w:val="auto"/>
          <w:szCs w:val="21"/>
          <w:highlight w:val="none"/>
        </w:rPr>
        <w:t>不需要冻结的瓶装、罐装等饮料食品,包括可乐类碳酸饮料食品，至少可以从一个透明外表面看到</w:t>
      </w:r>
      <w:r>
        <w:rPr>
          <w:rFonts w:hint="eastAsia"/>
          <w:color w:val="auto"/>
          <w:w w:val="105"/>
          <w:highlight w:val="none"/>
        </w:rPr>
        <w:t>存放、陈列</w:t>
      </w:r>
      <w:r>
        <w:rPr>
          <w:rFonts w:hint="eastAsia"/>
          <w:color w:val="auto"/>
          <w:szCs w:val="21"/>
          <w:highlight w:val="none"/>
        </w:rPr>
        <w:t>食品,具有一个或多个间室的制冷</w:t>
      </w:r>
      <w:r>
        <w:rPr>
          <w:color w:val="auto"/>
          <w:w w:val="105"/>
          <w:highlight w:val="none"/>
        </w:rPr>
        <w:t>陈列柜</w:t>
      </w:r>
      <w:r>
        <w:rPr>
          <w:rFonts w:hint="eastAsia"/>
          <w:color w:val="auto"/>
          <w:szCs w:val="21"/>
          <w:highlight w:val="none"/>
        </w:rPr>
        <w:t>。</w:t>
      </w:r>
    </w:p>
    <w:p>
      <w:pPr>
        <w:pStyle w:val="117"/>
        <w:spacing w:before="312" w:after="312"/>
        <w:rPr>
          <w:color w:val="auto"/>
          <w:szCs w:val="21"/>
          <w:highlight w:val="none"/>
        </w:rPr>
      </w:pPr>
      <w:r>
        <w:rPr>
          <w:rFonts w:hint="eastAsia"/>
          <w:color w:val="auto"/>
          <w:szCs w:val="21"/>
          <w:highlight w:val="none"/>
        </w:rPr>
        <w:t>分类</w:t>
      </w:r>
    </w:p>
    <w:p>
      <w:pPr>
        <w:pStyle w:val="23"/>
        <w:ind w:firstLine="440"/>
        <w:rPr>
          <w:color w:val="auto"/>
          <w:highlight w:val="none"/>
        </w:rPr>
      </w:pPr>
      <w:r>
        <w:rPr>
          <w:rFonts w:hint="eastAsia"/>
          <w:color w:val="auto"/>
          <w:w w:val="105"/>
          <w:highlight w:val="none"/>
        </w:rPr>
        <w:t>根据功能可分为</w:t>
      </w:r>
      <w:r>
        <w:rPr>
          <w:color w:val="auto"/>
          <w:w w:val="105"/>
          <w:highlight w:val="none"/>
        </w:rPr>
        <w:t>冷藏陈列柜、冷冻陈列柜、冷藏冷冻陈列柜</w:t>
      </w:r>
      <w:r>
        <w:rPr>
          <w:rFonts w:hint="eastAsia"/>
          <w:color w:val="auto"/>
          <w:w w:val="105"/>
          <w:highlight w:val="none"/>
        </w:rPr>
        <w:t>和</w:t>
      </w:r>
      <w:r>
        <w:rPr>
          <w:color w:val="auto"/>
          <w:w w:val="105"/>
          <w:highlight w:val="none"/>
        </w:rPr>
        <w:t>饮料冷藏陈列柜</w:t>
      </w:r>
      <w:r>
        <w:rPr>
          <w:rFonts w:hint="eastAsia"/>
          <w:color w:val="auto"/>
          <w:w w:val="105"/>
          <w:highlight w:val="none"/>
        </w:rPr>
        <w:t>。</w:t>
      </w:r>
    </w:p>
    <w:p>
      <w:pPr>
        <w:pStyle w:val="117"/>
        <w:spacing w:before="312" w:after="312"/>
        <w:rPr>
          <w:color w:val="auto"/>
          <w:szCs w:val="21"/>
          <w:highlight w:val="none"/>
        </w:rPr>
      </w:pPr>
      <w:r>
        <w:rPr>
          <w:rFonts w:hint="eastAsia"/>
          <w:color w:val="auto"/>
          <w:szCs w:val="21"/>
          <w:highlight w:val="none"/>
        </w:rPr>
        <w:t>要求</w:t>
      </w:r>
    </w:p>
    <w:bookmarkEnd w:id="7"/>
    <w:p>
      <w:pPr>
        <w:pStyle w:val="119"/>
        <w:spacing w:before="156" w:after="156"/>
        <w:rPr>
          <w:rFonts w:hAnsi="黑体" w:cs="黑体"/>
          <w:color w:val="auto"/>
          <w:kern w:val="2"/>
          <w:szCs w:val="22"/>
          <w:highlight w:val="none"/>
        </w:rPr>
      </w:pPr>
      <w:r>
        <w:rPr>
          <w:rFonts w:hint="eastAsia" w:hAnsi="黑体" w:cs="黑体"/>
          <w:color w:val="auto"/>
          <w:kern w:val="2"/>
          <w:szCs w:val="22"/>
          <w:highlight w:val="none"/>
        </w:rPr>
        <w:t>外观</w:t>
      </w:r>
    </w:p>
    <w:p>
      <w:pPr>
        <w:pStyle w:val="131"/>
        <w:widowControl w:val="0"/>
        <w:rPr>
          <w:color w:val="auto"/>
          <w:w w:val="105"/>
          <w:highlight w:val="none"/>
        </w:rPr>
      </w:pPr>
      <w:r>
        <w:rPr>
          <w:rFonts w:hint="eastAsia"/>
          <w:color w:val="auto"/>
          <w:w w:val="105"/>
          <w:highlight w:val="none"/>
        </w:rPr>
        <w:t>外观不应有明显的缺陷，装饰性表面应平整光亮。</w:t>
      </w:r>
    </w:p>
    <w:p>
      <w:pPr>
        <w:pStyle w:val="131"/>
        <w:widowControl w:val="0"/>
        <w:rPr>
          <w:color w:val="auto"/>
          <w:w w:val="105"/>
          <w:highlight w:val="none"/>
        </w:rPr>
      </w:pPr>
      <w:r>
        <w:rPr>
          <w:rFonts w:hint="eastAsia"/>
          <w:color w:val="auto"/>
          <w:w w:val="105"/>
          <w:highlight w:val="none"/>
        </w:rPr>
        <w:t>涂层表面应平整光亮、颜色均匀，不应有流疤、划痕、麻坑、皱纹、起泡、涂和沙粒等缺陷。</w:t>
      </w:r>
    </w:p>
    <w:p>
      <w:pPr>
        <w:pStyle w:val="121"/>
        <w:spacing w:before="156" w:after="156"/>
        <w:rPr>
          <w:color w:val="auto"/>
          <w:w w:val="105"/>
          <w:highlight w:val="none"/>
        </w:rPr>
      </w:pPr>
      <w:r>
        <w:rPr>
          <w:rFonts w:hint="eastAsia" w:ascii="宋体" w:hAnsi="宋体" w:eastAsia="宋体"/>
          <w:color w:val="auto"/>
          <w:w w:val="105"/>
          <w:kern w:val="2"/>
          <w:szCs w:val="22"/>
          <w:highlight w:val="none"/>
        </w:rPr>
        <w:t>柜内部或外部(如有)应有使用长寿命节能光源(如LED灯等)。柜内照明应能照亮整个陈列品的前排。</w:t>
      </w:r>
    </w:p>
    <w:p>
      <w:pPr>
        <w:pStyle w:val="131"/>
        <w:widowControl w:val="0"/>
        <w:rPr>
          <w:color w:val="auto"/>
          <w:w w:val="105"/>
          <w:highlight w:val="none"/>
        </w:rPr>
      </w:pPr>
      <w:r>
        <w:rPr>
          <w:rFonts w:hint="eastAsia"/>
          <w:color w:val="auto"/>
          <w:w w:val="105"/>
          <w:highlight w:val="none"/>
        </w:rPr>
        <w:t>电镀件的装饰镀层应光滑细密、色泽均匀，不应有斑点、针孔、气泡和镀层剥落等缺陷。</w:t>
      </w:r>
    </w:p>
    <w:p>
      <w:pPr>
        <w:pStyle w:val="131"/>
        <w:widowControl w:val="0"/>
        <w:rPr>
          <w:color w:val="auto"/>
          <w:w w:val="105"/>
          <w:highlight w:val="none"/>
        </w:rPr>
      </w:pPr>
      <w:r>
        <w:rPr>
          <w:rFonts w:hint="eastAsia"/>
          <w:color w:val="auto"/>
          <w:w w:val="105"/>
          <w:highlight w:val="none"/>
        </w:rPr>
        <w:t>塑料件表面应平整光滑、色泽均匀，不应有裂痕、气泡、明显缩孔和变形等缺陷。</w:t>
      </w:r>
    </w:p>
    <w:p>
      <w:pPr>
        <w:pStyle w:val="131"/>
        <w:widowControl w:val="0"/>
        <w:rPr>
          <w:color w:val="auto"/>
          <w:w w:val="105"/>
          <w:highlight w:val="none"/>
        </w:rPr>
      </w:pPr>
      <w:r>
        <w:rPr>
          <w:color w:val="auto"/>
          <w:w w:val="105"/>
          <w:highlight w:val="none"/>
        </w:rPr>
        <w:t>不锈钢表面拉丝纹理均匀一致，无划伤、变形及毛刺。</w:t>
      </w:r>
    </w:p>
    <w:p>
      <w:pPr>
        <w:pStyle w:val="131"/>
        <w:widowControl w:val="0"/>
        <w:rPr>
          <w:color w:val="auto"/>
          <w:w w:val="105"/>
          <w:highlight w:val="none"/>
        </w:rPr>
      </w:pPr>
      <w:r>
        <w:rPr>
          <w:color w:val="auto"/>
          <w:w w:val="105"/>
          <w:highlight w:val="none"/>
        </w:rPr>
        <w:t>氩弧焊接处应进行表面钝化处理。</w:t>
      </w:r>
    </w:p>
    <w:p>
      <w:pPr>
        <w:pStyle w:val="131"/>
        <w:widowControl w:val="0"/>
        <w:rPr>
          <w:color w:val="auto"/>
          <w:highlight w:val="none"/>
        </w:rPr>
      </w:pPr>
      <w:r>
        <w:rPr>
          <w:rFonts w:hint="eastAsia"/>
          <w:color w:val="auto"/>
          <w:w w:val="105"/>
          <w:highlight w:val="none"/>
        </w:rPr>
        <w:t>产品标志应清晰、耐久、正确。</w:t>
      </w:r>
    </w:p>
    <w:p>
      <w:pPr>
        <w:pStyle w:val="119"/>
        <w:spacing w:before="156" w:after="156"/>
        <w:rPr>
          <w:rFonts w:hAnsi="黑体"/>
          <w:color w:val="auto"/>
          <w:szCs w:val="21"/>
          <w:highlight w:val="none"/>
        </w:rPr>
      </w:pPr>
      <w:r>
        <w:rPr>
          <w:rFonts w:hint="eastAsia" w:hAnsi="黑体"/>
          <w:color w:val="auto"/>
          <w:szCs w:val="21"/>
          <w:highlight w:val="none"/>
        </w:rPr>
        <w:t>总有效容积（净容积）</w:t>
      </w:r>
    </w:p>
    <w:p>
      <w:pPr>
        <w:pStyle w:val="234"/>
        <w:rPr>
          <w:rFonts w:hAnsi="宋体" w:cs="宋体"/>
          <w:color w:val="auto"/>
          <w:szCs w:val="21"/>
          <w:highlight w:val="none"/>
        </w:rPr>
      </w:pPr>
      <w:bookmarkStart w:id="10" w:name="OLE_LINK5"/>
      <w:r>
        <w:rPr>
          <w:rFonts w:hint="eastAsia" w:hAnsi="宋体" w:cs="宋体"/>
          <w:color w:val="auto"/>
          <w:szCs w:val="21"/>
          <w:highlight w:val="none"/>
        </w:rPr>
        <w:t>按</w:t>
      </w:r>
      <w:r>
        <w:rPr>
          <w:rFonts w:hint="eastAsia" w:hAnsi="宋体" w:cs="宋体"/>
          <w:color w:val="auto"/>
          <w:szCs w:val="21"/>
          <w:highlight w:val="none"/>
          <w:lang w:val="en-US" w:eastAsia="zh-CN"/>
        </w:rPr>
        <w:t>6</w:t>
      </w:r>
      <w:r>
        <w:rPr>
          <w:rFonts w:hint="eastAsia" w:hAnsi="宋体" w:cs="宋体"/>
          <w:color w:val="auto"/>
          <w:szCs w:val="21"/>
          <w:highlight w:val="none"/>
        </w:rPr>
        <w:t>.3进行试验时，</w:t>
      </w:r>
      <w:bookmarkEnd w:id="10"/>
      <w:bookmarkStart w:id="11" w:name="OLE_LINK12"/>
      <w:r>
        <w:rPr>
          <w:rFonts w:hint="eastAsia" w:hAnsi="宋体" w:cs="宋体"/>
          <w:color w:val="auto"/>
          <w:szCs w:val="21"/>
          <w:highlight w:val="none"/>
        </w:rPr>
        <w:t>总有效容积应符合SB/T 10794.2—2012中附录A的要求。实际测量的有效容积 (净容积)应不小于额定值，且应符合GB/T 21001.3—2015 中 4.1.3 的要求</w:t>
      </w:r>
      <w:bookmarkEnd w:id="11"/>
      <w:r>
        <w:rPr>
          <w:rFonts w:hint="eastAsia" w:hAnsi="宋体" w:cs="宋体"/>
          <w:color w:val="auto"/>
          <w:szCs w:val="21"/>
          <w:highlight w:val="none"/>
        </w:rPr>
        <w:t>。</w:t>
      </w:r>
    </w:p>
    <w:p>
      <w:pPr>
        <w:pStyle w:val="119"/>
        <w:spacing w:before="156" w:after="156"/>
        <w:rPr>
          <w:color w:val="auto"/>
          <w:w w:val="105"/>
          <w:highlight w:val="none"/>
        </w:rPr>
      </w:pPr>
      <w:bookmarkStart w:id="12" w:name="OLE_LINK13"/>
      <w:r>
        <w:rPr>
          <w:color w:val="auto"/>
          <w:spacing w:val="-3"/>
          <w:w w:val="105"/>
          <w:highlight w:val="none"/>
        </w:rPr>
        <w:t>展示面积</w:t>
      </w:r>
      <w:r>
        <w:rPr>
          <w:color w:val="auto"/>
          <w:w w:val="105"/>
          <w:highlight w:val="none"/>
        </w:rPr>
        <w:t>（TDA)</w:t>
      </w:r>
      <w:bookmarkEnd w:id="12"/>
    </w:p>
    <w:p>
      <w:pPr>
        <w:pStyle w:val="23"/>
        <w:ind w:firstLine="420"/>
        <w:rPr>
          <w:rFonts w:hAnsi="宋体" w:cs="宋体"/>
          <w:color w:val="auto"/>
          <w:szCs w:val="21"/>
          <w:highlight w:val="none"/>
        </w:rPr>
      </w:pPr>
      <w:r>
        <w:rPr>
          <w:rFonts w:hint="eastAsia" w:hAnsi="宋体" w:cs="宋体"/>
          <w:color w:val="auto"/>
          <w:szCs w:val="21"/>
          <w:highlight w:val="none"/>
        </w:rPr>
        <w:t>按</w:t>
      </w:r>
      <w:r>
        <w:rPr>
          <w:rFonts w:hint="eastAsia" w:hAnsi="宋体" w:cs="宋体"/>
          <w:color w:val="auto"/>
          <w:szCs w:val="21"/>
          <w:highlight w:val="none"/>
          <w:lang w:val="en-US" w:eastAsia="zh-CN"/>
        </w:rPr>
        <w:t>6</w:t>
      </w:r>
      <w:r>
        <w:rPr>
          <w:rFonts w:hint="eastAsia" w:hAnsi="宋体" w:cs="宋体"/>
          <w:color w:val="auto"/>
          <w:szCs w:val="21"/>
          <w:highlight w:val="none"/>
        </w:rPr>
        <w:t>.</w:t>
      </w:r>
      <w:r>
        <w:rPr>
          <w:rFonts w:hint="eastAsia" w:hAnsi="宋体" w:cs="宋体"/>
          <w:color w:val="auto"/>
          <w:szCs w:val="21"/>
          <w:highlight w:val="none"/>
          <w:lang w:val="en-US" w:eastAsia="zh-CN"/>
        </w:rPr>
        <w:t>4</w:t>
      </w:r>
      <w:r>
        <w:rPr>
          <w:rFonts w:hint="eastAsia" w:hAnsi="宋体" w:cs="宋体"/>
          <w:color w:val="auto"/>
          <w:szCs w:val="21"/>
          <w:highlight w:val="none"/>
        </w:rPr>
        <w:t>进行试验时，</w:t>
      </w:r>
      <w:bookmarkStart w:id="13" w:name="OLE_LINK14"/>
      <w:r>
        <w:rPr>
          <w:rFonts w:hint="eastAsia" w:hAnsi="宋体" w:cs="宋体"/>
          <w:color w:val="auto"/>
          <w:szCs w:val="21"/>
          <w:highlight w:val="none"/>
        </w:rPr>
        <w:t>实际测量的总展示面积不应小于额定值(单位：m</w:t>
      </w:r>
      <w:r>
        <w:rPr>
          <w:rFonts w:hint="eastAsia" w:hAnsi="宋体" w:cs="宋体"/>
          <w:color w:val="auto"/>
          <w:szCs w:val="21"/>
          <w:highlight w:val="none"/>
          <w:vertAlign w:val="superscript"/>
        </w:rPr>
        <w:t>2</w:t>
      </w:r>
      <w:r>
        <w:rPr>
          <w:rFonts w:hint="eastAsia" w:hAnsi="宋体" w:cs="宋体"/>
          <w:color w:val="auto"/>
          <w:szCs w:val="21"/>
          <w:highlight w:val="none"/>
        </w:rPr>
        <w:t>)，且应符合GB/T 21001.3—2015 中 4.1.3 的要求</w:t>
      </w:r>
      <w:bookmarkEnd w:id="13"/>
      <w:r>
        <w:rPr>
          <w:rFonts w:hint="eastAsia" w:hAnsi="宋体" w:cs="宋体"/>
          <w:color w:val="auto"/>
          <w:szCs w:val="21"/>
          <w:highlight w:val="none"/>
        </w:rPr>
        <w:t>。</w:t>
      </w:r>
    </w:p>
    <w:p>
      <w:pPr>
        <w:pStyle w:val="119"/>
        <w:spacing w:before="156" w:after="156"/>
        <w:rPr>
          <w:rFonts w:hAnsi="黑体"/>
          <w:color w:val="auto"/>
          <w:szCs w:val="21"/>
          <w:highlight w:val="none"/>
        </w:rPr>
      </w:pPr>
      <w:r>
        <w:rPr>
          <w:rFonts w:hint="eastAsia" w:hAnsi="黑体"/>
          <w:color w:val="auto"/>
          <w:szCs w:val="21"/>
          <w:highlight w:val="none"/>
        </w:rPr>
        <w:t>制冷性能</w:t>
      </w:r>
    </w:p>
    <w:p>
      <w:pPr>
        <w:pStyle w:val="121"/>
        <w:spacing w:before="156" w:after="156"/>
        <w:rPr>
          <w:color w:val="auto"/>
          <w:highlight w:val="none"/>
        </w:rPr>
      </w:pPr>
      <w:r>
        <w:rPr>
          <w:rFonts w:hint="eastAsia"/>
          <w:color w:val="auto"/>
          <w:highlight w:val="none"/>
        </w:rPr>
        <w:t>温度</w:t>
      </w:r>
    </w:p>
    <w:p>
      <w:pPr>
        <w:pStyle w:val="123"/>
        <w:spacing w:before="156" w:after="156"/>
        <w:rPr>
          <w:rFonts w:ascii="宋体" w:hAnsi="宋体" w:eastAsia="宋体" w:cs="宋体"/>
          <w:color w:val="auto"/>
          <w:highlight w:val="none"/>
        </w:rPr>
      </w:pPr>
      <w:r>
        <w:rPr>
          <w:rFonts w:hint="eastAsia" w:ascii="宋体" w:hAnsi="宋体" w:eastAsia="宋体" w:cs="宋体"/>
          <w:color w:val="auto"/>
          <w:w w:val="105"/>
          <w:highlight w:val="none"/>
        </w:rPr>
        <w:t>陈列柜（除饮料冷藏陈列柜外）性能</w:t>
      </w:r>
      <w:r>
        <w:rPr>
          <w:rFonts w:hint="eastAsia" w:ascii="宋体" w:hAnsi="宋体" w:eastAsia="宋体" w:cs="宋体"/>
          <w:color w:val="auto"/>
          <w:highlight w:val="none"/>
        </w:rPr>
        <w:t>按6.5.1进行试验时，</w:t>
      </w:r>
      <w:r>
        <w:rPr>
          <w:rFonts w:hint="eastAsia" w:ascii="宋体" w:hAnsi="宋体" w:eastAsia="宋体" w:cs="宋体"/>
          <w:color w:val="auto"/>
          <w:w w:val="105"/>
          <w:highlight w:val="none"/>
        </w:rPr>
        <w:t>应符合表1所规定的类型之一</w:t>
      </w:r>
      <w:r>
        <w:rPr>
          <w:rFonts w:hint="eastAsia" w:ascii="宋体" w:hAnsi="宋体" w:eastAsia="宋体" w:cs="宋体"/>
          <w:color w:val="auto"/>
          <w:highlight w:val="none"/>
        </w:rPr>
        <w:t>。</w:t>
      </w:r>
    </w:p>
    <w:p>
      <w:pPr>
        <w:pStyle w:val="208"/>
        <w:tabs>
          <w:tab w:val="left" w:pos="0"/>
        </w:tabs>
        <w:spacing w:before="156" w:after="156"/>
        <w:rPr>
          <w:color w:val="auto"/>
          <w:w w:val="105"/>
          <w:highlight w:val="none"/>
        </w:rPr>
      </w:pPr>
      <w:r>
        <w:rPr>
          <w:rFonts w:hint="eastAsia"/>
          <w:color w:val="auto"/>
          <w:w w:val="105"/>
          <w:highlight w:val="none"/>
        </w:rPr>
        <w:t>陈</w:t>
      </w:r>
      <w:r>
        <w:rPr>
          <w:color w:val="auto"/>
          <w:w w:val="105"/>
          <w:highlight w:val="none"/>
        </w:rPr>
        <w:t>列柜温度分类及性能要求（除饮料冷藏陈列柜外）</w:t>
      </w:r>
    </w:p>
    <w:p>
      <w:pPr>
        <w:pStyle w:val="23"/>
        <w:keepNext w:val="0"/>
        <w:keepLines w:val="0"/>
        <w:pageBreakBefore w:val="0"/>
        <w:widowControl/>
        <w:kinsoku/>
        <w:wordWrap/>
        <w:overflowPunct/>
        <w:topLinePunct w:val="0"/>
        <w:autoSpaceDE/>
        <w:autoSpaceDN/>
        <w:bidi w:val="0"/>
        <w:adjustRightInd/>
        <w:snapToGrid/>
        <w:jc w:val="right"/>
        <w:textAlignment w:val="auto"/>
        <w:rPr>
          <w:rFonts w:hint="eastAsia" w:eastAsia="宋体"/>
          <w:sz w:val="18"/>
          <w:szCs w:val="18"/>
          <w:lang w:eastAsia="zh-CN"/>
        </w:rPr>
      </w:pPr>
      <w:r>
        <w:rPr>
          <w:rFonts w:hint="eastAsia"/>
          <w:color w:val="auto"/>
          <w:w w:val="105"/>
          <w:sz w:val="18"/>
          <w:szCs w:val="18"/>
          <w:highlight w:val="none"/>
          <w:lang w:eastAsia="zh-CN"/>
        </w:rPr>
        <w:t>单位：</w:t>
      </w:r>
      <w:r>
        <w:rPr>
          <w:rFonts w:hAnsi="宋体"/>
          <w:color w:val="auto"/>
          <w:w w:val="105"/>
          <w:sz w:val="18"/>
          <w:szCs w:val="18"/>
          <w:highlight w:val="none"/>
        </w:rPr>
        <w:t>℃</w:t>
      </w:r>
    </w:p>
    <w:tbl>
      <w:tblPr>
        <w:tblStyle w:val="260"/>
        <w:tblW w:w="9704" w:type="dxa"/>
        <w:jc w:val="righ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0"/>
        <w:gridCol w:w="2880"/>
        <w:gridCol w:w="2816"/>
        <w:gridCol w:w="3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ind w:right="125"/>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类型</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ind w:right="125"/>
              <w:jc w:val="center"/>
              <w:textAlignment w:val="auto"/>
              <w:rPr>
                <w:rFonts w:hAnsi="宋体" w:cs="宋体"/>
                <w:color w:val="auto"/>
                <w:w w:val="105"/>
                <w:sz w:val="18"/>
                <w:szCs w:val="18"/>
                <w:highlight w:val="none"/>
              </w:rPr>
            </w:pPr>
            <w:r>
              <w:rPr>
                <w:rFonts w:hint="eastAsia" w:hAnsi="宋体" w:cs="宋体"/>
                <w:color w:val="auto"/>
                <w:w w:val="105"/>
                <w:sz w:val="18"/>
                <w:szCs w:val="18"/>
                <w:highlight w:val="none"/>
              </w:rPr>
              <w:t>最高温度</w:t>
            </w:r>
            <w:r>
              <w:rPr>
                <w:rFonts w:ascii="Arial" w:hAnsi="Arial" w:cs="Arial"/>
                <w:i/>
                <w:iCs/>
                <w:color w:val="auto"/>
                <w:w w:val="105"/>
                <w:sz w:val="18"/>
                <w:szCs w:val="18"/>
                <w:highlight w:val="none"/>
              </w:rPr>
              <w:t>θ</w:t>
            </w:r>
            <w:r>
              <w:rPr>
                <w:rFonts w:hint="eastAsia" w:ascii="Arial" w:hAnsi="Arial" w:cs="Arial"/>
                <w:color w:val="auto"/>
                <w:w w:val="105"/>
                <w:sz w:val="18"/>
                <w:szCs w:val="18"/>
                <w:highlight w:val="none"/>
                <w:vertAlign w:val="subscript"/>
              </w:rPr>
              <w:t>ah</w:t>
            </w:r>
            <w:r>
              <w:rPr>
                <w:rFonts w:hint="eastAsia" w:hAnsi="宋体" w:cs="宋体"/>
                <w:color w:val="auto"/>
                <w:w w:val="105"/>
                <w:sz w:val="18"/>
                <w:szCs w:val="18"/>
                <w:highlight w:val="none"/>
              </w:rPr>
              <w:t>，最热M-包的最高温度低于或等于的温度</w:t>
            </w:r>
            <w:r>
              <w:rPr>
                <w:rFonts w:hint="eastAsia" w:hAnsi="宋体" w:cs="宋体"/>
                <w:i/>
                <w:iCs/>
                <w:color w:val="auto"/>
                <w:w w:val="105"/>
                <w:sz w:val="18"/>
                <w:szCs w:val="18"/>
                <w:highlight w:val="none"/>
              </w:rPr>
              <w:t>a</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ind w:right="125"/>
              <w:jc w:val="center"/>
              <w:textAlignment w:val="auto"/>
              <w:rPr>
                <w:rFonts w:hAnsi="宋体" w:cs="宋体"/>
                <w:color w:val="auto"/>
                <w:w w:val="105"/>
                <w:sz w:val="18"/>
                <w:szCs w:val="18"/>
                <w:highlight w:val="none"/>
              </w:rPr>
            </w:pPr>
            <w:r>
              <w:rPr>
                <w:rFonts w:hint="eastAsia" w:hAnsi="宋体" w:cs="宋体"/>
                <w:color w:val="auto"/>
                <w:w w:val="105"/>
                <w:sz w:val="18"/>
                <w:szCs w:val="18"/>
                <w:highlight w:val="none"/>
              </w:rPr>
              <w:t>最低温度</w:t>
            </w:r>
            <w:r>
              <w:rPr>
                <w:rFonts w:ascii="Arial" w:hAnsi="Arial" w:cs="Arial"/>
                <w:i/>
                <w:iCs/>
                <w:color w:val="auto"/>
                <w:w w:val="105"/>
                <w:sz w:val="18"/>
                <w:szCs w:val="18"/>
                <w:highlight w:val="none"/>
              </w:rPr>
              <w:t>θ</w:t>
            </w:r>
            <w:r>
              <w:rPr>
                <w:rFonts w:hint="eastAsia" w:ascii="Arial" w:hAnsi="Arial" w:cs="Arial"/>
                <w:color w:val="auto"/>
                <w:w w:val="105"/>
                <w:sz w:val="18"/>
                <w:szCs w:val="18"/>
                <w:highlight w:val="none"/>
                <w:vertAlign w:val="subscript"/>
              </w:rPr>
              <w:t>b</w:t>
            </w:r>
            <w:r>
              <w:rPr>
                <w:rFonts w:hint="eastAsia" w:hAnsi="宋体" w:cs="宋体"/>
                <w:color w:val="auto"/>
                <w:w w:val="105"/>
                <w:sz w:val="18"/>
                <w:szCs w:val="18"/>
                <w:highlight w:val="none"/>
              </w:rPr>
              <w:t>，最冷M-包的最低温度高于或等于的温度</w:t>
            </w:r>
            <w:r>
              <w:rPr>
                <w:rFonts w:hint="eastAsia" w:hAnsi="宋体" w:cs="宋体"/>
                <w:i/>
                <w:iCs/>
                <w:color w:val="auto"/>
                <w:w w:val="105"/>
                <w:sz w:val="18"/>
                <w:szCs w:val="18"/>
                <w:highlight w:val="none"/>
              </w:rPr>
              <w:t>a</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ind w:right="125"/>
              <w:jc w:val="center"/>
              <w:textAlignment w:val="auto"/>
              <w:rPr>
                <w:rFonts w:hAnsi="宋体" w:cs="宋体"/>
                <w:color w:val="auto"/>
                <w:w w:val="105"/>
                <w:sz w:val="18"/>
                <w:szCs w:val="18"/>
                <w:highlight w:val="none"/>
              </w:rPr>
            </w:pPr>
            <w:r>
              <w:rPr>
                <w:rFonts w:hint="eastAsia" w:hAnsi="宋体" w:cs="宋体"/>
                <w:color w:val="auto"/>
                <w:w w:val="105"/>
                <w:sz w:val="18"/>
                <w:szCs w:val="18"/>
                <w:highlight w:val="none"/>
              </w:rPr>
              <w:t>最低温度</w:t>
            </w:r>
            <w:r>
              <w:rPr>
                <w:rFonts w:ascii="Arial" w:hAnsi="Arial" w:cs="Arial"/>
                <w:i/>
                <w:iCs/>
                <w:color w:val="auto"/>
                <w:w w:val="105"/>
                <w:sz w:val="18"/>
                <w:szCs w:val="18"/>
                <w:highlight w:val="none"/>
              </w:rPr>
              <w:t>θ</w:t>
            </w:r>
            <w:r>
              <w:rPr>
                <w:rFonts w:hint="eastAsia" w:ascii="Arial" w:hAnsi="Arial" w:cs="Arial"/>
                <w:color w:val="auto"/>
                <w:w w:val="105"/>
                <w:sz w:val="18"/>
                <w:szCs w:val="18"/>
                <w:highlight w:val="none"/>
                <w:vertAlign w:val="subscript"/>
              </w:rPr>
              <w:t>Hl</w:t>
            </w:r>
            <w:r>
              <w:rPr>
                <w:rFonts w:hint="eastAsia" w:hAnsi="宋体" w:cs="宋体"/>
                <w:color w:val="auto"/>
                <w:w w:val="105"/>
                <w:sz w:val="18"/>
                <w:szCs w:val="18"/>
                <w:highlight w:val="none"/>
              </w:rPr>
              <w:t>，所有M-包的最低温度低于或等于的温度</w:t>
            </w:r>
            <w:r>
              <w:rPr>
                <w:rFonts w:hint="eastAsia" w:hAnsi="宋体" w:cs="宋体"/>
                <w:i/>
                <w:iCs/>
                <w:color w:val="auto"/>
                <w:w w:val="105"/>
                <w:sz w:val="18"/>
                <w:szCs w:val="18"/>
                <w:highlight w:val="none"/>
                <w:vertAlign w:val="superscript"/>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L1 </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-15</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L2 </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-12</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L3 </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-12</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M1 </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+5</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M2 </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+7</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H1 </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H2 </w:t>
            </w:r>
          </w:p>
        </w:tc>
        <w:tc>
          <w:tcPr>
            <w:tcW w:w="288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w:t>
            </w:r>
          </w:p>
        </w:tc>
        <w:tc>
          <w:tcPr>
            <w:tcW w:w="2816"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w:t>
            </w:r>
          </w:p>
        </w:tc>
        <w:tc>
          <w:tcPr>
            <w:tcW w:w="3098"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right"/>
        </w:trPr>
        <w:tc>
          <w:tcPr>
            <w:tcW w:w="910" w:type="dxa"/>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S </w:t>
            </w:r>
          </w:p>
        </w:tc>
        <w:tc>
          <w:tcPr>
            <w:tcW w:w="8794" w:type="dxa"/>
            <w:gridSpan w:val="3"/>
            <w:vAlign w:val="center"/>
          </w:tcPr>
          <w:p>
            <w:pPr>
              <w:pStyle w:val="259"/>
              <w:keepNext w:val="0"/>
              <w:keepLines w:val="0"/>
              <w:pageBreakBefore w:val="0"/>
              <w:widowControl w:val="0"/>
              <w:tabs>
                <w:tab w:val="left" w:pos="1122"/>
              </w:tabs>
              <w:kinsoku/>
              <w:wordWrap/>
              <w:overflowPunct/>
              <w:topLinePunct w:val="0"/>
              <w:autoSpaceDE/>
              <w:autoSpaceDN/>
              <w:bidi w:val="0"/>
              <w:adjustRightInd/>
              <w:snapToGrid/>
              <w:spacing w:before="0" w:line="280" w:lineRule="atLeast"/>
              <w:ind w:right="123"/>
              <w:jc w:val="center"/>
              <w:textAlignment w:val="auto"/>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 xml:space="preserve">特殊类型 </w:t>
            </w:r>
          </w:p>
        </w:tc>
      </w:tr>
    </w:tbl>
    <w:p>
      <w:pPr>
        <w:pStyle w:val="123"/>
        <w:spacing w:before="156" w:after="156"/>
        <w:rPr>
          <w:rFonts w:ascii="宋体" w:hAnsi="宋体" w:eastAsia="宋体" w:cs="宋体"/>
          <w:color w:val="auto"/>
          <w:highlight w:val="none"/>
        </w:rPr>
      </w:pPr>
      <w:r>
        <w:rPr>
          <w:rFonts w:hint="eastAsia" w:ascii="宋体" w:hAnsi="宋体" w:eastAsia="宋体" w:cs="宋体"/>
          <w:color w:val="auto"/>
          <w:w w:val="105"/>
          <w:highlight w:val="none"/>
        </w:rPr>
        <w:t>对饮料冷藏陈列柜，性能</w:t>
      </w:r>
      <w:r>
        <w:rPr>
          <w:rFonts w:hint="eastAsia" w:ascii="宋体" w:hAnsi="宋体" w:eastAsia="宋体" w:cs="宋体"/>
          <w:color w:val="auto"/>
          <w:highlight w:val="none"/>
        </w:rPr>
        <w:t>按6.5.1进行试验时，</w:t>
      </w:r>
      <w:r>
        <w:rPr>
          <w:rFonts w:hint="eastAsia" w:ascii="宋体" w:hAnsi="宋体" w:eastAsia="宋体" w:cs="宋体"/>
          <w:color w:val="auto"/>
          <w:w w:val="105"/>
          <w:highlight w:val="none"/>
        </w:rPr>
        <w:t>应符合表2所规定的类型之一。</w:t>
      </w:r>
    </w:p>
    <w:p>
      <w:pPr>
        <w:pStyle w:val="208"/>
        <w:tabs>
          <w:tab w:val="left" w:pos="0"/>
        </w:tabs>
        <w:spacing w:before="156" w:after="156"/>
        <w:rPr>
          <w:color w:val="auto"/>
          <w:w w:val="105"/>
          <w:highlight w:val="none"/>
        </w:rPr>
      </w:pPr>
      <w:r>
        <w:rPr>
          <w:rFonts w:hint="eastAsia"/>
          <w:color w:val="auto"/>
          <w:w w:val="105"/>
          <w:highlight w:val="none"/>
        </w:rPr>
        <w:t>陈</w:t>
      </w:r>
      <w:r>
        <w:rPr>
          <w:color w:val="auto"/>
          <w:w w:val="105"/>
          <w:highlight w:val="none"/>
        </w:rPr>
        <w:t>列柜温度分类及性能要求（饮料冷藏陈列柜）</w:t>
      </w:r>
    </w:p>
    <w:tbl>
      <w:tblPr>
        <w:tblStyle w:val="262"/>
        <w:tblW w:w="97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5"/>
        <w:gridCol w:w="3412"/>
        <w:gridCol w:w="1820"/>
        <w:gridCol w:w="1820"/>
        <w:gridCol w:w="18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bookmarkStart w:id="14" w:name="OLE_LINK7" w:colFirst="0" w:colLast="4"/>
            <w:r>
              <w:rPr>
                <w:rFonts w:hAnsi="宋体"/>
                <w:color w:val="auto"/>
                <w:w w:val="105"/>
                <w:sz w:val="18"/>
                <w:szCs w:val="18"/>
                <w:highlight w:val="none"/>
                <w:lang w:eastAsia="en-US"/>
              </w:rPr>
              <w:t>序号</w:t>
            </w:r>
          </w:p>
        </w:tc>
        <w:tc>
          <w:tcPr>
            <w:tcW w:w="341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性能要求</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NA型</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HA型</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VHA型</w:t>
            </w:r>
          </w:p>
        </w:tc>
      </w:tr>
      <w:bookmarkEnd w:id="14"/>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1</w:t>
            </w:r>
          </w:p>
        </w:tc>
        <w:tc>
          <w:tcPr>
            <w:tcW w:w="341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气候类型（见表</w:t>
            </w:r>
            <w:r>
              <w:rPr>
                <w:rFonts w:hint="eastAsia" w:hAnsi="宋体"/>
                <w:color w:val="auto"/>
                <w:w w:val="105"/>
                <w:sz w:val="18"/>
                <w:szCs w:val="18"/>
                <w:highlight w:val="none"/>
                <w:lang w:eastAsia="en-US"/>
              </w:rPr>
              <w:t>3</w:t>
            </w:r>
            <w:r>
              <w:rPr>
                <w:rFonts w:hAnsi="宋体"/>
                <w:color w:val="auto"/>
                <w:w w:val="105"/>
                <w:sz w:val="18"/>
                <w:szCs w:val="18"/>
                <w:highlight w:val="none"/>
                <w:lang w:eastAsia="en-US"/>
              </w:rPr>
              <w:t>）</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8</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9</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2</w:t>
            </w:r>
          </w:p>
        </w:tc>
        <w:tc>
          <w:tcPr>
            <w:tcW w:w="341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环境温度/℃</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24</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32</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3</w:t>
            </w:r>
          </w:p>
        </w:tc>
        <w:tc>
          <w:tcPr>
            <w:tcW w:w="341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环境相对湿度/%</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55</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65</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4</w:t>
            </w:r>
          </w:p>
        </w:tc>
        <w:tc>
          <w:tcPr>
            <w:tcW w:w="341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初始产品</w:t>
            </w:r>
            <w:r>
              <w:rPr>
                <w:rFonts w:hint="eastAsia" w:hAnsi="宋体"/>
                <w:color w:val="auto"/>
                <w:w w:val="105"/>
                <w:sz w:val="18"/>
                <w:szCs w:val="18"/>
                <w:highlight w:val="none"/>
                <w:lang w:eastAsia="en-US"/>
              </w:rPr>
              <w:t>相对</w:t>
            </w:r>
            <w:r>
              <w:rPr>
                <w:rFonts w:hAnsi="宋体"/>
                <w:color w:val="auto"/>
                <w:w w:val="105"/>
                <w:sz w:val="18"/>
                <w:szCs w:val="18"/>
                <w:highlight w:val="none"/>
                <w:lang w:eastAsia="en-US"/>
              </w:rPr>
              <w:t>湿度/%</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24</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32</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41</w:t>
            </w:r>
          </w:p>
        </w:tc>
      </w:tr>
    </w:tbl>
    <w:p>
      <w:pPr>
        <w:pStyle w:val="259"/>
        <w:autoSpaceDE/>
        <w:autoSpaceDN/>
        <w:spacing w:before="0"/>
        <w:ind w:left="218" w:leftChars="104" w:right="179"/>
        <w:jc w:val="center"/>
        <w:rPr>
          <w:rFonts w:hAnsi="宋体"/>
          <w:color w:val="auto"/>
          <w:w w:val="105"/>
          <w:sz w:val="18"/>
          <w:szCs w:val="18"/>
          <w:highlight w:val="none"/>
          <w:lang w:eastAsia="en-US"/>
        </w:rPr>
      </w:pPr>
    </w:p>
    <w:p>
      <w:pPr>
        <w:pStyle w:val="259"/>
        <w:autoSpaceDE/>
        <w:autoSpaceDN/>
        <w:spacing w:before="0"/>
        <w:ind w:left="218" w:leftChars="104" w:right="179"/>
        <w:jc w:val="center"/>
        <w:rPr>
          <w:rFonts w:hAnsi="宋体"/>
          <w:color w:val="auto"/>
          <w:w w:val="105"/>
          <w:sz w:val="18"/>
          <w:szCs w:val="18"/>
          <w:highlight w:val="none"/>
          <w:lang w:eastAsia="en-US"/>
        </w:rPr>
      </w:pPr>
    </w:p>
    <w:p>
      <w:pPr>
        <w:pStyle w:val="259"/>
        <w:keepNext w:val="0"/>
        <w:keepLines w:val="0"/>
        <w:pageBreakBefore w:val="0"/>
        <w:widowControl w:val="0"/>
        <w:kinsoku/>
        <w:wordWrap/>
        <w:overflowPunct/>
        <w:topLinePunct w:val="0"/>
        <w:autoSpaceDE/>
        <w:autoSpaceDN/>
        <w:bidi w:val="0"/>
        <w:adjustRightInd/>
        <w:snapToGrid/>
        <w:spacing w:before="157" w:beforeLines="50" w:after="157" w:afterLines="50"/>
        <w:ind w:left="218" w:leftChars="104" w:right="181"/>
        <w:jc w:val="center"/>
        <w:textAlignment w:val="auto"/>
        <w:rPr>
          <w:rFonts w:hint="default" w:hAnsi="宋体" w:eastAsia="宋体"/>
          <w:color w:val="auto"/>
          <w:w w:val="105"/>
          <w:sz w:val="21"/>
          <w:szCs w:val="21"/>
          <w:highlight w:val="none"/>
          <w:lang w:val="en-US" w:eastAsia="zh-CN"/>
        </w:rPr>
      </w:pPr>
      <w:bookmarkStart w:id="15" w:name="OLE_LINK9"/>
      <w:r>
        <w:rPr>
          <w:rFonts w:hint="eastAsia" w:ascii="黑体" w:hAnsi="黑体" w:eastAsia="黑体" w:cs="黑体"/>
          <w:color w:val="auto"/>
          <w:w w:val="105"/>
          <w:sz w:val="21"/>
          <w:szCs w:val="21"/>
          <w:highlight w:val="none"/>
          <w:lang w:val="en-US" w:eastAsia="zh-CN"/>
        </w:rPr>
        <w:t>表2</w:t>
      </w:r>
      <w:r>
        <w:rPr>
          <w:rFonts w:hint="eastAsia" w:hAnsi="宋体"/>
          <w:color w:val="auto"/>
          <w:w w:val="105"/>
          <w:sz w:val="21"/>
          <w:szCs w:val="21"/>
          <w:highlight w:val="none"/>
          <w:lang w:val="en-US" w:eastAsia="zh-CN"/>
        </w:rPr>
        <w:t>（续）</w:t>
      </w:r>
      <w:bookmarkEnd w:id="15"/>
    </w:p>
    <w:tbl>
      <w:tblPr>
        <w:tblStyle w:val="262"/>
        <w:tblW w:w="97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5"/>
        <w:gridCol w:w="990"/>
        <w:gridCol w:w="296"/>
        <w:gridCol w:w="2126"/>
        <w:gridCol w:w="1820"/>
        <w:gridCol w:w="1820"/>
        <w:gridCol w:w="18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序号</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性能要求</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NA型</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HA型</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VHA型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w:t>
            </w:r>
          </w:p>
        </w:tc>
        <w:tc>
          <w:tcPr>
            <w:tcW w:w="990" w:type="dxa"/>
            <w:vMerge w:val="restart"/>
            <w:vAlign w:val="center"/>
          </w:tcPr>
          <w:p>
            <w:pPr>
              <w:pStyle w:val="259"/>
              <w:autoSpaceDE/>
              <w:autoSpaceDN/>
              <w:spacing w:before="0"/>
              <w:ind w:left="218" w:leftChars="104" w:right="179"/>
              <w:jc w:val="center"/>
              <w:rPr>
                <w:rFonts w:hAnsi="宋体"/>
                <w:color w:val="auto"/>
                <w:w w:val="105"/>
                <w:sz w:val="18"/>
                <w:szCs w:val="18"/>
                <w:highlight w:val="none"/>
                <w:lang w:eastAsia="zh-CN"/>
              </w:rPr>
            </w:pPr>
          </w:p>
          <w:p>
            <w:pPr>
              <w:pStyle w:val="259"/>
              <w:autoSpaceDE/>
              <w:autoSpaceDN/>
              <w:spacing w:before="0"/>
              <w:ind w:left="218" w:leftChars="104" w:right="179"/>
              <w:jc w:val="center"/>
              <w:rPr>
                <w:rFonts w:hAnsi="宋体"/>
                <w:color w:val="auto"/>
                <w:w w:val="105"/>
                <w:sz w:val="18"/>
                <w:szCs w:val="18"/>
                <w:highlight w:val="none"/>
                <w:lang w:eastAsia="zh-CN"/>
              </w:rPr>
            </w:pPr>
            <w:r>
              <w:rPr>
                <w:rFonts w:hAnsi="宋体"/>
                <w:color w:val="auto"/>
                <w:w w:val="105"/>
                <w:sz w:val="18"/>
                <w:szCs w:val="18"/>
                <w:highlight w:val="none"/>
                <w:lang w:eastAsia="zh-CN"/>
              </w:rPr>
              <w:t>半载降温最大允许时间/h</w:t>
            </w:r>
          </w:p>
        </w:tc>
        <w:tc>
          <w:tcPr>
            <w:tcW w:w="2422" w:type="dxa"/>
            <w:gridSpan w:val="2"/>
            <w:vAlign w:val="center"/>
          </w:tcPr>
          <w:p>
            <w:pPr>
              <w:pStyle w:val="259"/>
              <w:autoSpaceDE/>
              <w:autoSpaceDN/>
              <w:spacing w:before="0"/>
              <w:ind w:left="218" w:leftChars="104" w:right="179"/>
              <w:jc w:val="center"/>
              <w:rPr>
                <w:rFonts w:hAnsi="宋体"/>
                <w:color w:val="auto"/>
                <w:w w:val="105"/>
                <w:sz w:val="18"/>
                <w:szCs w:val="18"/>
                <w:highlight w:val="none"/>
                <w:lang w:eastAsia="zh-CN"/>
              </w:rPr>
            </w:pPr>
            <w:r>
              <w:rPr>
                <w:rFonts w:hAnsi="宋体"/>
                <w:color w:val="auto"/>
                <w:w w:val="105"/>
                <w:sz w:val="18"/>
                <w:szCs w:val="18"/>
                <w:highlight w:val="none"/>
                <w:lang w:eastAsia="zh-CN"/>
              </w:rPr>
              <w:t>柜台柜（包括卧式柜）</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≤8</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≤11</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6</w:t>
            </w:r>
          </w:p>
        </w:tc>
        <w:tc>
          <w:tcPr>
            <w:tcW w:w="990" w:type="dxa"/>
            <w:vMerge w:val="continue"/>
            <w:tcBorders>
              <w:top w:val="nil"/>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2422" w:type="dxa"/>
            <w:gridSpan w:val="2"/>
            <w:vAlign w:val="center"/>
          </w:tcPr>
          <w:p>
            <w:pPr>
              <w:pStyle w:val="259"/>
              <w:autoSpaceDE/>
              <w:autoSpaceDN/>
              <w:spacing w:before="0"/>
              <w:ind w:left="218" w:leftChars="104" w:right="179"/>
              <w:jc w:val="center"/>
              <w:rPr>
                <w:rFonts w:hAnsi="宋体"/>
                <w:color w:val="auto"/>
                <w:w w:val="105"/>
                <w:sz w:val="18"/>
                <w:szCs w:val="18"/>
                <w:highlight w:val="none"/>
                <w:lang w:eastAsia="zh-CN"/>
              </w:rPr>
            </w:pPr>
            <w:r>
              <w:rPr>
                <w:rFonts w:hAnsi="宋体"/>
                <w:color w:val="auto"/>
                <w:w w:val="105"/>
                <w:sz w:val="18"/>
                <w:szCs w:val="18"/>
                <w:highlight w:val="none"/>
                <w:lang w:eastAsia="zh-CN"/>
              </w:rPr>
              <w:t>单门柜（包括卧式柜、双通柜和封闭式圆桶柜）</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≤10</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≤13</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7</w:t>
            </w:r>
          </w:p>
        </w:tc>
        <w:tc>
          <w:tcPr>
            <w:tcW w:w="990" w:type="dxa"/>
            <w:vMerge w:val="continue"/>
            <w:tcBorders>
              <w:top w:val="nil"/>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2422" w:type="dxa"/>
            <w:gridSpan w:val="2"/>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双门柜</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≤12</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≤15</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8</w:t>
            </w:r>
          </w:p>
        </w:tc>
        <w:tc>
          <w:tcPr>
            <w:tcW w:w="990" w:type="dxa"/>
            <w:vMerge w:val="continue"/>
            <w:tcBorders>
              <w:top w:val="nil"/>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2422" w:type="dxa"/>
            <w:gridSpan w:val="2"/>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三门柜</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≤14</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≤17</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9</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柜内产品最高温度/℃</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≤10</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≤10</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10</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柜内产品最低温度/℃</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＞0</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＞0</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11</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柜内产品平均温度/℃</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12</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玻璃门凝露面积/%</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13</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接水盒溢出</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无</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无</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14</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zh-CN"/>
              </w:rPr>
            </w:pPr>
            <w:r>
              <w:rPr>
                <w:rFonts w:hAnsi="宋体"/>
                <w:color w:val="auto"/>
                <w:w w:val="105"/>
                <w:sz w:val="18"/>
                <w:szCs w:val="18"/>
                <w:highlight w:val="none"/>
                <w:lang w:eastAsia="zh-CN"/>
              </w:rPr>
              <w:t>压缩机允许的热过载保护次数</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0</w:t>
            </w:r>
          </w:p>
        </w:tc>
        <w:tc>
          <w:tcPr>
            <w:tcW w:w="1820"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0</w:t>
            </w:r>
          </w:p>
        </w:tc>
        <w:tc>
          <w:tcPr>
            <w:tcW w:w="1822"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9"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p>
          <w:p>
            <w:pPr>
              <w:pStyle w:val="259"/>
              <w:autoSpaceDE/>
              <w:autoSpaceDN/>
              <w:spacing w:before="0"/>
              <w:ind w:left="218" w:leftChars="104" w:right="179"/>
              <w:jc w:val="center"/>
              <w:rPr>
                <w:rFonts w:hAnsi="宋体"/>
                <w:color w:val="auto"/>
                <w:w w:val="105"/>
                <w:sz w:val="18"/>
                <w:szCs w:val="18"/>
                <w:highlight w:val="none"/>
                <w:lang w:eastAsia="en-US"/>
              </w:rPr>
            </w:pPr>
          </w:p>
          <w:p>
            <w:pPr>
              <w:pStyle w:val="259"/>
              <w:autoSpaceDE/>
              <w:autoSpaceDN/>
              <w:spacing w:before="0"/>
              <w:ind w:left="218" w:leftChars="104" w:right="179"/>
              <w:jc w:val="center"/>
              <w:rPr>
                <w:rFonts w:hAnsi="宋体"/>
                <w:color w:val="auto"/>
                <w:w w:val="105"/>
                <w:sz w:val="18"/>
                <w:szCs w:val="18"/>
                <w:highlight w:val="none"/>
                <w:lang w:eastAsia="en-US"/>
              </w:rPr>
            </w:pPr>
          </w:p>
          <w:p>
            <w:pPr>
              <w:pStyle w:val="259"/>
              <w:autoSpaceDE/>
              <w:autoSpaceDN/>
              <w:spacing w:before="0"/>
              <w:ind w:left="218" w:leftChars="104" w:right="179"/>
              <w:jc w:val="center"/>
              <w:rPr>
                <w:rFonts w:hAnsi="宋体"/>
                <w:color w:val="auto"/>
                <w:w w:val="105"/>
                <w:sz w:val="18"/>
                <w:szCs w:val="18"/>
                <w:highlight w:val="none"/>
                <w:lang w:eastAsia="en-US"/>
              </w:rPr>
            </w:pPr>
          </w:p>
          <w:p>
            <w:pPr>
              <w:pStyle w:val="259"/>
              <w:autoSpaceDE/>
              <w:autoSpaceDN/>
              <w:spacing w:before="0"/>
              <w:ind w:left="218" w:leftChars="104" w:right="179"/>
              <w:jc w:val="center"/>
              <w:rPr>
                <w:rFonts w:hAnsi="宋体"/>
                <w:color w:val="auto"/>
                <w:w w:val="105"/>
                <w:sz w:val="18"/>
                <w:szCs w:val="18"/>
                <w:highlight w:val="none"/>
                <w:lang w:eastAsia="en-US"/>
              </w:rPr>
            </w:pPr>
          </w:p>
          <w:p>
            <w:pPr>
              <w:pStyle w:val="259"/>
              <w:autoSpaceDE/>
              <w:autoSpaceDN/>
              <w:spacing w:before="0"/>
              <w:ind w:left="218" w:leftChars="104" w:right="179"/>
              <w:jc w:val="center"/>
              <w:rPr>
                <w:rFonts w:hAnsi="宋体"/>
                <w:color w:val="auto"/>
                <w:w w:val="105"/>
                <w:sz w:val="18"/>
                <w:szCs w:val="18"/>
                <w:highlight w:val="none"/>
                <w:lang w:eastAsia="en-US"/>
              </w:rPr>
            </w:pPr>
            <w:r>
              <w:rPr>
                <w:rFonts w:hAnsi="宋体"/>
                <w:color w:val="auto"/>
                <w:w w:val="105"/>
                <w:sz w:val="18"/>
                <w:szCs w:val="18"/>
                <w:highlight w:val="none"/>
                <w:lang w:eastAsia="en-US"/>
              </w:rPr>
              <w:t>15</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zh-CN"/>
              </w:rPr>
            </w:pPr>
            <w:r>
              <w:rPr>
                <w:rFonts w:hAnsi="宋体"/>
                <w:color w:val="auto"/>
                <w:w w:val="105"/>
                <w:sz w:val="18"/>
                <w:szCs w:val="18"/>
                <w:highlight w:val="none"/>
                <w:lang w:eastAsia="zh-CN"/>
              </w:rPr>
              <w:t>能耗（kW</w:t>
            </w:r>
            <w:r>
              <w:rPr>
                <w:rFonts w:hint="eastAsia" w:hAnsi="宋体" w:cs="宋体"/>
                <w:color w:val="auto"/>
                <w:w w:val="105"/>
                <w:sz w:val="18"/>
                <w:szCs w:val="18"/>
                <w:highlight w:val="none"/>
                <w:lang w:eastAsia="zh-CN"/>
              </w:rPr>
              <w:t>·</w:t>
            </w:r>
            <w:r>
              <w:rPr>
                <w:rFonts w:hAnsi="宋体"/>
                <w:color w:val="auto"/>
                <w:w w:val="105"/>
                <w:sz w:val="18"/>
                <w:szCs w:val="18"/>
                <w:highlight w:val="none"/>
                <w:lang w:eastAsia="zh-CN"/>
              </w:rPr>
              <w:t>h/24</w:t>
            </w:r>
            <w:r>
              <w:rPr>
                <w:rFonts w:hint="eastAsia" w:hAnsi="宋体"/>
                <w:color w:val="auto"/>
                <w:w w:val="105"/>
                <w:sz w:val="18"/>
                <w:szCs w:val="18"/>
                <w:highlight w:val="none"/>
                <w:lang w:eastAsia="zh-CN"/>
              </w:rPr>
              <w:t xml:space="preserve"> </w:t>
            </w:r>
            <w:r>
              <w:rPr>
                <w:rFonts w:hAnsi="宋体"/>
                <w:color w:val="auto"/>
                <w:w w:val="105"/>
                <w:sz w:val="18"/>
                <w:szCs w:val="18"/>
                <w:highlight w:val="none"/>
                <w:lang w:eastAsia="zh-CN"/>
              </w:rPr>
              <w:t>h)</w:t>
            </w:r>
          </w:p>
          <w:p>
            <w:pPr>
              <w:pStyle w:val="259"/>
              <w:autoSpaceDE/>
              <w:autoSpaceDN/>
              <w:spacing w:before="0"/>
              <w:ind w:left="218" w:leftChars="104" w:right="179"/>
              <w:jc w:val="center"/>
              <w:rPr>
                <w:rFonts w:hAnsi="宋体"/>
                <w:color w:val="auto"/>
                <w:w w:val="105"/>
                <w:sz w:val="18"/>
                <w:szCs w:val="18"/>
                <w:highlight w:val="none"/>
                <w:lang w:eastAsia="zh-CN"/>
              </w:rPr>
            </w:pPr>
            <w:r>
              <w:rPr>
                <w:rFonts w:hAnsi="宋体"/>
                <w:color w:val="auto"/>
                <w:w w:val="105"/>
                <w:sz w:val="18"/>
                <w:szCs w:val="18"/>
                <w:highlight w:val="none"/>
                <w:lang w:eastAsia="zh-CN"/>
              </w:rPr>
              <w:t>在8类气候条件（24</w:t>
            </w:r>
            <w:r>
              <w:rPr>
                <w:rFonts w:hint="eastAsia" w:hAnsi="宋体"/>
                <w:color w:val="auto"/>
                <w:w w:val="105"/>
                <w:sz w:val="18"/>
                <w:szCs w:val="18"/>
                <w:highlight w:val="none"/>
                <w:lang w:val="en-US" w:eastAsia="zh-CN"/>
              </w:rPr>
              <w:t xml:space="preserve"> </w:t>
            </w:r>
            <w:r>
              <w:rPr>
                <w:rFonts w:hAnsi="宋体"/>
                <w:color w:val="auto"/>
                <w:w w:val="105"/>
                <w:sz w:val="18"/>
                <w:szCs w:val="18"/>
                <w:highlight w:val="none"/>
                <w:lang w:eastAsia="zh-CN"/>
              </w:rPr>
              <w:t>℃，55%RH)下测试</w:t>
            </w:r>
          </w:p>
        </w:tc>
        <w:tc>
          <w:tcPr>
            <w:tcW w:w="5462" w:type="dxa"/>
            <w:gridSpan w:val="3"/>
            <w:vAlign w:val="center"/>
          </w:tcPr>
          <w:p>
            <w:pPr>
              <w:pStyle w:val="259"/>
              <w:autoSpaceDE/>
              <w:autoSpaceDN/>
              <w:spacing w:before="0"/>
              <w:ind w:left="218" w:leftChars="104" w:right="179"/>
              <w:jc w:val="left"/>
              <w:rPr>
                <w:rFonts w:hAnsi="宋体"/>
                <w:color w:val="auto"/>
                <w:w w:val="105"/>
                <w:sz w:val="18"/>
                <w:szCs w:val="18"/>
                <w:highlight w:val="none"/>
                <w:lang w:eastAsia="zh-CN"/>
              </w:rPr>
            </w:pPr>
            <w:r>
              <w:rPr>
                <w:rFonts w:hAnsi="宋体"/>
                <w:color w:val="auto"/>
                <w:w w:val="105"/>
                <w:sz w:val="18"/>
                <w:szCs w:val="18"/>
                <w:highlight w:val="none"/>
                <w:lang w:eastAsia="zh-CN"/>
              </w:rPr>
              <w:t>实测值不大于额定值，且不大于下列最大允许值：（k=2.12)</w:t>
            </w:r>
          </w:p>
          <w:p>
            <w:pPr>
              <w:pStyle w:val="259"/>
              <w:autoSpaceDE/>
              <w:autoSpaceDN/>
              <w:spacing w:before="0"/>
              <w:ind w:left="218" w:leftChars="104" w:right="179"/>
              <w:jc w:val="left"/>
              <w:rPr>
                <w:rFonts w:hAnsi="宋体"/>
                <w:color w:val="auto"/>
                <w:w w:val="105"/>
                <w:sz w:val="18"/>
                <w:szCs w:val="18"/>
                <w:highlight w:val="none"/>
                <w:lang w:eastAsia="zh-CN"/>
              </w:rPr>
            </w:pPr>
            <w:r>
              <w:rPr>
                <w:rFonts w:hAnsi="宋体"/>
                <w:color w:val="auto"/>
                <w:w w:val="105"/>
                <w:sz w:val="18"/>
                <w:szCs w:val="18"/>
                <w:highlight w:val="none"/>
                <w:lang w:eastAsia="zh-CN"/>
              </w:rPr>
              <w:t>1）立式饮料柜按有效容积V(</w:t>
            </w:r>
            <w:bookmarkStart w:id="16" w:name="OLE_LINK2"/>
            <w:r>
              <w:rPr>
                <w:rFonts w:hAnsi="宋体"/>
                <w:color w:val="auto"/>
                <w:w w:val="105"/>
                <w:sz w:val="18"/>
                <w:szCs w:val="18"/>
                <w:highlight w:val="none"/>
                <w:lang w:eastAsia="zh-CN"/>
              </w:rPr>
              <w:t>m</w:t>
            </w:r>
            <w:r>
              <w:rPr>
                <w:rFonts w:hint="eastAsia" w:hAnsi="宋体"/>
                <w:color w:val="auto"/>
                <w:w w:val="105"/>
                <w:sz w:val="18"/>
                <w:szCs w:val="18"/>
                <w:highlight w:val="none"/>
                <w:vertAlign w:val="superscript"/>
                <w:lang w:eastAsia="zh-CN"/>
              </w:rPr>
              <w:t>3</w:t>
            </w:r>
            <w:bookmarkEnd w:id="16"/>
            <w:r>
              <w:rPr>
                <w:rFonts w:hAnsi="宋体"/>
                <w:color w:val="auto"/>
                <w:w w:val="105"/>
                <w:sz w:val="18"/>
                <w:szCs w:val="18"/>
                <w:highlight w:val="none"/>
                <w:lang w:eastAsia="zh-CN"/>
              </w:rPr>
              <w:t>)分为如下4种情况：</w:t>
            </w:r>
          </w:p>
          <w:p>
            <w:pPr>
              <w:pStyle w:val="259"/>
              <w:autoSpaceDE/>
              <w:autoSpaceDN/>
              <w:spacing w:before="0"/>
              <w:ind w:left="218" w:leftChars="104" w:right="179" w:firstLine="378" w:firstLineChars="200"/>
              <w:jc w:val="left"/>
              <w:rPr>
                <w:rFonts w:hAnsi="宋体"/>
                <w:color w:val="auto"/>
                <w:w w:val="105"/>
                <w:sz w:val="18"/>
                <w:szCs w:val="18"/>
                <w:highlight w:val="none"/>
                <w:lang w:eastAsia="zh-CN"/>
              </w:rPr>
            </w:pPr>
            <w:r>
              <w:rPr>
                <w:rFonts w:hAnsi="宋体"/>
                <w:color w:val="auto"/>
                <w:w w:val="105"/>
                <w:sz w:val="18"/>
                <w:szCs w:val="18"/>
                <w:highlight w:val="none"/>
                <w:lang w:eastAsia="zh-CN"/>
              </w:rPr>
              <w:t>0</w:t>
            </w:r>
            <w:r>
              <w:rPr>
                <w:rFonts w:hint="eastAsia" w:hAnsi="宋体"/>
                <w:color w:val="auto"/>
                <w:w w:val="105"/>
                <w:sz w:val="18"/>
                <w:szCs w:val="18"/>
                <w:highlight w:val="none"/>
                <w:lang w:val="en-US" w:eastAsia="zh-CN"/>
              </w:rPr>
              <w:t xml:space="preserve"> </w:t>
            </w:r>
            <w:r>
              <w:rPr>
                <w:rFonts w:hAnsi="宋体"/>
                <w:color w:val="auto"/>
                <w:w w:val="105"/>
                <w:sz w:val="18"/>
                <w:szCs w:val="18"/>
                <w:highlight w:val="none"/>
                <w:lang w:eastAsia="zh-CN"/>
              </w:rPr>
              <w:t>m</w:t>
            </w:r>
            <w:r>
              <w:rPr>
                <w:rFonts w:hint="eastAsia" w:hAnsi="宋体"/>
                <w:color w:val="auto"/>
                <w:w w:val="105"/>
                <w:sz w:val="18"/>
                <w:szCs w:val="18"/>
                <w:highlight w:val="none"/>
                <w:vertAlign w:val="superscript"/>
                <w:lang w:eastAsia="zh-CN"/>
              </w:rPr>
              <w:t>3</w:t>
            </w:r>
            <w:r>
              <w:rPr>
                <w:rFonts w:hAnsi="宋体"/>
                <w:color w:val="auto"/>
                <w:w w:val="105"/>
                <w:sz w:val="18"/>
                <w:szCs w:val="18"/>
                <w:highlight w:val="none"/>
                <w:lang w:eastAsia="zh-CN"/>
              </w:rPr>
              <w:t>＜V≤0.425</w:t>
            </w:r>
            <w:r>
              <w:rPr>
                <w:rFonts w:hint="eastAsia" w:hAnsi="宋体"/>
                <w:color w:val="auto"/>
                <w:w w:val="105"/>
                <w:sz w:val="18"/>
                <w:szCs w:val="18"/>
                <w:highlight w:val="none"/>
                <w:lang w:val="en-US" w:eastAsia="zh-CN"/>
              </w:rPr>
              <w:t xml:space="preserve"> </w:t>
            </w:r>
            <w:r>
              <w:rPr>
                <w:rFonts w:hAnsi="宋体"/>
                <w:color w:val="auto"/>
                <w:w w:val="105"/>
                <w:sz w:val="18"/>
                <w:szCs w:val="18"/>
                <w:highlight w:val="none"/>
                <w:lang w:eastAsia="zh-CN"/>
              </w:rPr>
              <w:t>m</w:t>
            </w:r>
            <w:r>
              <w:rPr>
                <w:rFonts w:hint="eastAsia" w:hAnsi="宋体"/>
                <w:color w:val="auto"/>
                <w:w w:val="105"/>
                <w:sz w:val="18"/>
                <w:szCs w:val="18"/>
                <w:highlight w:val="none"/>
                <w:vertAlign w:val="superscript"/>
                <w:lang w:eastAsia="zh-CN"/>
              </w:rPr>
              <w:t>3</w:t>
            </w:r>
            <w:r>
              <w:rPr>
                <w:rFonts w:hAnsi="宋体"/>
                <w:color w:val="auto"/>
                <w:w w:val="105"/>
                <w:sz w:val="18"/>
                <w:szCs w:val="18"/>
                <w:highlight w:val="none"/>
                <w:lang w:eastAsia="zh-CN"/>
              </w:rPr>
              <w:t>,最大允许值为(4.2V+1.382)×k</w:t>
            </w:r>
          </w:p>
          <w:p>
            <w:pPr>
              <w:pStyle w:val="259"/>
              <w:autoSpaceDE/>
              <w:autoSpaceDN/>
              <w:spacing w:before="0"/>
              <w:ind w:left="218" w:leftChars="104" w:right="179" w:firstLine="378" w:firstLineChars="200"/>
              <w:jc w:val="left"/>
              <w:rPr>
                <w:rFonts w:hAnsi="宋体"/>
                <w:color w:val="auto"/>
                <w:w w:val="105"/>
                <w:sz w:val="18"/>
                <w:szCs w:val="18"/>
                <w:highlight w:val="none"/>
                <w:lang w:eastAsia="zh-CN"/>
              </w:rPr>
            </w:pPr>
            <w:r>
              <w:rPr>
                <w:rFonts w:hAnsi="宋体"/>
                <w:color w:val="auto"/>
                <w:w w:val="105"/>
                <w:sz w:val="18"/>
                <w:szCs w:val="18"/>
                <w:highlight w:val="none"/>
                <w:lang w:eastAsia="zh-CN"/>
              </w:rPr>
              <w:t>0.425</w:t>
            </w:r>
            <w:r>
              <w:rPr>
                <w:rFonts w:hint="eastAsia" w:hAnsi="宋体"/>
                <w:color w:val="auto"/>
                <w:w w:val="105"/>
                <w:sz w:val="18"/>
                <w:szCs w:val="18"/>
                <w:highlight w:val="none"/>
                <w:lang w:val="en-US" w:eastAsia="zh-CN"/>
              </w:rPr>
              <w:t xml:space="preserve"> </w:t>
            </w:r>
            <w:r>
              <w:rPr>
                <w:rFonts w:hAnsi="宋体"/>
                <w:color w:val="auto"/>
                <w:w w:val="105"/>
                <w:sz w:val="18"/>
                <w:szCs w:val="18"/>
                <w:highlight w:val="none"/>
                <w:lang w:eastAsia="zh-CN"/>
              </w:rPr>
              <w:t>m</w:t>
            </w:r>
            <w:r>
              <w:rPr>
                <w:rFonts w:hint="eastAsia" w:hAnsi="宋体"/>
                <w:color w:val="auto"/>
                <w:w w:val="105"/>
                <w:sz w:val="18"/>
                <w:szCs w:val="18"/>
                <w:highlight w:val="none"/>
                <w:vertAlign w:val="superscript"/>
                <w:lang w:eastAsia="zh-CN"/>
              </w:rPr>
              <w:t>3</w:t>
            </w:r>
            <w:r>
              <w:rPr>
                <w:rFonts w:hAnsi="宋体"/>
                <w:color w:val="auto"/>
                <w:w w:val="105"/>
                <w:sz w:val="18"/>
                <w:szCs w:val="18"/>
                <w:highlight w:val="none"/>
                <w:lang w:eastAsia="zh-CN"/>
              </w:rPr>
              <w:t>＜V≤0.850</w:t>
            </w:r>
            <w:bookmarkStart w:id="17" w:name="OLE_LINK6"/>
            <w:r>
              <w:rPr>
                <w:rFonts w:hint="eastAsia" w:hAnsi="宋体"/>
                <w:color w:val="auto"/>
                <w:w w:val="105"/>
                <w:sz w:val="18"/>
                <w:szCs w:val="18"/>
                <w:highlight w:val="none"/>
                <w:lang w:val="en-US" w:eastAsia="zh-CN"/>
              </w:rPr>
              <w:t xml:space="preserve"> </w:t>
            </w:r>
            <w:r>
              <w:rPr>
                <w:rFonts w:hAnsi="宋体"/>
                <w:color w:val="auto"/>
                <w:w w:val="105"/>
                <w:sz w:val="18"/>
                <w:szCs w:val="18"/>
                <w:highlight w:val="none"/>
                <w:lang w:eastAsia="zh-CN"/>
              </w:rPr>
              <w:t>m</w:t>
            </w:r>
            <w:r>
              <w:rPr>
                <w:rFonts w:hint="eastAsia" w:hAnsi="宋体"/>
                <w:color w:val="auto"/>
                <w:w w:val="105"/>
                <w:sz w:val="18"/>
                <w:szCs w:val="18"/>
                <w:highlight w:val="none"/>
                <w:vertAlign w:val="superscript"/>
                <w:lang w:eastAsia="zh-CN"/>
              </w:rPr>
              <w:t>3</w:t>
            </w:r>
            <w:bookmarkEnd w:id="17"/>
            <w:r>
              <w:rPr>
                <w:rFonts w:hAnsi="宋体"/>
                <w:color w:val="auto"/>
                <w:w w:val="105"/>
                <w:sz w:val="18"/>
                <w:szCs w:val="18"/>
                <w:highlight w:val="none"/>
                <w:lang w:eastAsia="zh-CN"/>
              </w:rPr>
              <w:t xml:space="preserve"> ,最大允许值为(4.9V+1.050)×k</w:t>
            </w:r>
          </w:p>
          <w:p>
            <w:pPr>
              <w:pStyle w:val="259"/>
              <w:autoSpaceDE/>
              <w:autoSpaceDN/>
              <w:spacing w:before="0"/>
              <w:ind w:left="218" w:leftChars="104" w:right="179" w:firstLine="378" w:firstLineChars="200"/>
              <w:jc w:val="left"/>
              <w:rPr>
                <w:rFonts w:hAnsi="宋体"/>
                <w:color w:val="auto"/>
                <w:w w:val="105"/>
                <w:sz w:val="18"/>
                <w:szCs w:val="18"/>
                <w:highlight w:val="none"/>
                <w:lang w:eastAsia="zh-CN"/>
              </w:rPr>
            </w:pPr>
            <w:r>
              <w:rPr>
                <w:rFonts w:hAnsi="宋体"/>
                <w:color w:val="auto"/>
                <w:w w:val="105"/>
                <w:sz w:val="18"/>
                <w:szCs w:val="18"/>
                <w:highlight w:val="none"/>
                <w:lang w:eastAsia="zh-CN"/>
              </w:rPr>
              <w:t>0.850</w:t>
            </w:r>
            <w:r>
              <w:rPr>
                <w:rFonts w:hint="eastAsia" w:hAnsi="宋体"/>
                <w:color w:val="auto"/>
                <w:w w:val="105"/>
                <w:sz w:val="18"/>
                <w:szCs w:val="18"/>
                <w:highlight w:val="none"/>
                <w:lang w:val="en-US" w:eastAsia="zh-CN"/>
              </w:rPr>
              <w:t xml:space="preserve"> </w:t>
            </w:r>
            <w:r>
              <w:rPr>
                <w:rFonts w:hAnsi="宋体"/>
                <w:color w:val="auto"/>
                <w:w w:val="105"/>
                <w:sz w:val="18"/>
                <w:szCs w:val="18"/>
                <w:highlight w:val="none"/>
                <w:lang w:eastAsia="zh-CN"/>
              </w:rPr>
              <w:t>m</w:t>
            </w:r>
            <w:r>
              <w:rPr>
                <w:rFonts w:hint="eastAsia" w:hAnsi="宋体"/>
                <w:color w:val="auto"/>
                <w:w w:val="105"/>
                <w:sz w:val="18"/>
                <w:szCs w:val="18"/>
                <w:highlight w:val="none"/>
                <w:vertAlign w:val="superscript"/>
                <w:lang w:eastAsia="zh-CN"/>
              </w:rPr>
              <w:t>3</w:t>
            </w:r>
            <w:r>
              <w:rPr>
                <w:rFonts w:hAnsi="宋体"/>
                <w:color w:val="auto"/>
                <w:w w:val="105"/>
                <w:sz w:val="18"/>
                <w:szCs w:val="18"/>
                <w:highlight w:val="none"/>
                <w:lang w:eastAsia="zh-CN"/>
              </w:rPr>
              <w:t>＜V≤1.415</w:t>
            </w:r>
            <w:r>
              <w:rPr>
                <w:rFonts w:hint="eastAsia" w:hAnsi="宋体"/>
                <w:color w:val="auto"/>
                <w:w w:val="105"/>
                <w:sz w:val="18"/>
                <w:szCs w:val="18"/>
                <w:highlight w:val="none"/>
                <w:lang w:val="en-US" w:eastAsia="zh-CN"/>
              </w:rPr>
              <w:t xml:space="preserve"> </w:t>
            </w:r>
            <w:r>
              <w:rPr>
                <w:rFonts w:hAnsi="宋体"/>
                <w:color w:val="auto"/>
                <w:w w:val="105"/>
                <w:sz w:val="18"/>
                <w:szCs w:val="18"/>
                <w:highlight w:val="none"/>
                <w:lang w:eastAsia="zh-CN"/>
              </w:rPr>
              <w:t>m</w:t>
            </w:r>
            <w:r>
              <w:rPr>
                <w:rFonts w:hint="eastAsia" w:hAnsi="宋体"/>
                <w:color w:val="auto"/>
                <w:w w:val="105"/>
                <w:sz w:val="18"/>
                <w:szCs w:val="18"/>
                <w:highlight w:val="none"/>
                <w:vertAlign w:val="superscript"/>
                <w:lang w:eastAsia="zh-CN"/>
              </w:rPr>
              <w:t>3</w:t>
            </w:r>
            <w:r>
              <w:rPr>
                <w:rFonts w:hAnsi="宋体"/>
                <w:color w:val="auto"/>
                <w:w w:val="105"/>
                <w:sz w:val="18"/>
                <w:szCs w:val="18"/>
                <w:highlight w:val="none"/>
                <w:lang w:eastAsia="zh-CN"/>
              </w:rPr>
              <w:t xml:space="preserve"> ,最大允许值为(3.1V+2.625)×k</w:t>
            </w:r>
          </w:p>
          <w:p>
            <w:pPr>
              <w:pStyle w:val="259"/>
              <w:autoSpaceDE/>
              <w:autoSpaceDN/>
              <w:spacing w:before="0"/>
              <w:ind w:left="218" w:leftChars="104" w:right="179" w:firstLine="378" w:firstLineChars="200"/>
              <w:jc w:val="left"/>
              <w:rPr>
                <w:rFonts w:hAnsi="宋体"/>
                <w:color w:val="auto"/>
                <w:w w:val="105"/>
                <w:sz w:val="18"/>
                <w:szCs w:val="18"/>
                <w:highlight w:val="none"/>
                <w:lang w:eastAsia="zh-CN"/>
              </w:rPr>
            </w:pPr>
            <w:r>
              <w:rPr>
                <w:rFonts w:hAnsi="宋体"/>
                <w:color w:val="auto"/>
                <w:w w:val="105"/>
                <w:sz w:val="18"/>
                <w:szCs w:val="18"/>
                <w:highlight w:val="none"/>
                <w:lang w:eastAsia="zh-CN"/>
              </w:rPr>
              <w:t>V＞1.415 m</w:t>
            </w:r>
            <w:r>
              <w:rPr>
                <w:rFonts w:hint="eastAsia" w:hAnsi="宋体"/>
                <w:color w:val="auto"/>
                <w:w w:val="105"/>
                <w:sz w:val="18"/>
                <w:szCs w:val="18"/>
                <w:highlight w:val="none"/>
                <w:vertAlign w:val="superscript"/>
                <w:lang w:eastAsia="zh-CN"/>
              </w:rPr>
              <w:t>3</w:t>
            </w:r>
            <w:r>
              <w:rPr>
                <w:rFonts w:hAnsi="宋体"/>
                <w:color w:val="auto"/>
                <w:w w:val="105"/>
                <w:sz w:val="18"/>
                <w:szCs w:val="18"/>
                <w:highlight w:val="none"/>
                <w:lang w:eastAsia="zh-CN"/>
              </w:rPr>
              <w:t xml:space="preserve"> ,最大允许值为(3.9V+1.5)×k</w:t>
            </w:r>
          </w:p>
          <w:p>
            <w:pPr>
              <w:pStyle w:val="259"/>
              <w:autoSpaceDE/>
              <w:autoSpaceDN/>
              <w:spacing w:before="0"/>
              <w:ind w:left="218" w:leftChars="104" w:right="179"/>
              <w:jc w:val="left"/>
              <w:rPr>
                <w:rFonts w:hAnsi="宋体"/>
                <w:color w:val="auto"/>
                <w:w w:val="105"/>
                <w:sz w:val="18"/>
                <w:szCs w:val="18"/>
                <w:highlight w:val="none"/>
                <w:lang w:eastAsia="zh-CN"/>
              </w:rPr>
            </w:pPr>
            <w:r>
              <w:rPr>
                <w:rFonts w:hAnsi="宋体"/>
                <w:color w:val="auto"/>
                <w:w w:val="105"/>
                <w:sz w:val="18"/>
                <w:szCs w:val="18"/>
                <w:highlight w:val="none"/>
                <w:lang w:eastAsia="zh-CN"/>
              </w:rPr>
              <w:t>2）卧式饮料柜最大允许值为(4.4V+0.475)×k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jc w:val="center"/>
        </w:trPr>
        <w:tc>
          <w:tcPr>
            <w:tcW w:w="845" w:type="dxa"/>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16</w:t>
            </w:r>
          </w:p>
        </w:tc>
        <w:tc>
          <w:tcPr>
            <w:tcW w:w="341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蒸发器结霜试验</w:t>
            </w:r>
          </w:p>
        </w:tc>
        <w:tc>
          <w:tcPr>
            <w:tcW w:w="5462" w:type="dxa"/>
            <w:gridSpan w:val="3"/>
            <w:vAlign w:val="center"/>
          </w:tcPr>
          <w:p>
            <w:pPr>
              <w:pStyle w:val="259"/>
              <w:autoSpaceDE/>
              <w:autoSpaceDN/>
              <w:spacing w:before="0"/>
              <w:ind w:left="218" w:leftChars="104" w:right="179"/>
              <w:jc w:val="left"/>
              <w:rPr>
                <w:rFonts w:hAnsi="宋体"/>
                <w:color w:val="auto"/>
                <w:w w:val="105"/>
                <w:sz w:val="18"/>
                <w:szCs w:val="18"/>
                <w:highlight w:val="none"/>
                <w:lang w:eastAsia="zh-CN"/>
              </w:rPr>
            </w:pPr>
            <w:r>
              <w:rPr>
                <w:rFonts w:hint="eastAsia" w:hAnsi="宋体"/>
                <w:color w:val="auto"/>
                <w:w w:val="105"/>
                <w:sz w:val="18"/>
                <w:szCs w:val="18"/>
                <w:highlight w:val="none"/>
                <w:lang w:eastAsia="zh-CN"/>
              </w:rPr>
              <w:t>将温控器调至最低挡,运行24 h，燕发器不应因结霜而堵塞，融霜结束后蒸发器上没有冰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jc w:val="center"/>
        </w:trPr>
        <w:tc>
          <w:tcPr>
            <w:tcW w:w="845" w:type="dxa"/>
            <w:vMerge w:val="restart"/>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17</w:t>
            </w:r>
          </w:p>
        </w:tc>
        <w:tc>
          <w:tcPr>
            <w:tcW w:w="1286" w:type="dxa"/>
            <w:gridSpan w:val="2"/>
            <w:vMerge w:val="restart"/>
            <w:tcBorders>
              <w:righ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开门试验</w:t>
            </w:r>
          </w:p>
        </w:tc>
        <w:tc>
          <w:tcPr>
            <w:tcW w:w="2126" w:type="dxa"/>
            <w:tcBorders>
              <w:lef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开门要求</w:t>
            </w:r>
          </w:p>
        </w:tc>
        <w:tc>
          <w:tcPr>
            <w:tcW w:w="5462" w:type="dxa"/>
            <w:gridSpan w:val="3"/>
            <w:vAlign w:val="center"/>
          </w:tcPr>
          <w:p>
            <w:pPr>
              <w:pStyle w:val="259"/>
              <w:keepNext w:val="0"/>
              <w:keepLines w:val="0"/>
              <w:pageBreakBefore w:val="0"/>
              <w:widowControl w:val="0"/>
              <w:kinsoku/>
              <w:wordWrap/>
              <w:overflowPunct/>
              <w:topLinePunct w:val="0"/>
              <w:autoSpaceDE/>
              <w:autoSpaceDN/>
              <w:bidi w:val="0"/>
              <w:adjustRightInd/>
              <w:snapToGrid/>
              <w:spacing w:before="0"/>
              <w:ind w:left="218" w:leftChars="104" w:right="181"/>
              <w:jc w:val="left"/>
              <w:textAlignment w:val="auto"/>
              <w:rPr>
                <w:rFonts w:hAnsi="宋体"/>
                <w:color w:val="auto"/>
                <w:w w:val="105"/>
                <w:sz w:val="18"/>
                <w:szCs w:val="18"/>
                <w:highlight w:val="none"/>
                <w:lang w:eastAsia="zh-CN"/>
              </w:rPr>
            </w:pPr>
            <w:r>
              <w:rPr>
                <w:rFonts w:hint="eastAsia" w:hAnsi="宋体"/>
                <w:color w:val="auto"/>
                <w:w w:val="105"/>
                <w:sz w:val="18"/>
                <w:szCs w:val="18"/>
                <w:highlight w:val="none"/>
                <w:lang w:eastAsia="zh-CN"/>
              </w:rPr>
              <w:t>每小时开门6次，每次轮流开一个门,角度为不超过90°的最大值，每次开门6</w:t>
            </w:r>
            <w:r>
              <w:rPr>
                <w:rFonts w:hint="eastAsia" w:hAnsi="宋体"/>
                <w:color w:val="auto"/>
                <w:w w:val="105"/>
                <w:sz w:val="18"/>
                <w:szCs w:val="18"/>
                <w:highlight w:val="none"/>
                <w:lang w:val="en-US" w:eastAsia="zh-CN"/>
              </w:rPr>
              <w:t xml:space="preserve"> </w:t>
            </w:r>
            <w:r>
              <w:rPr>
                <w:rFonts w:hint="eastAsia" w:hAnsi="宋体"/>
                <w:color w:val="auto"/>
                <w:w w:val="105"/>
                <w:sz w:val="18"/>
                <w:szCs w:val="18"/>
                <w:highlight w:val="none"/>
                <w:lang w:eastAsia="zh-CN"/>
              </w:rPr>
              <w:t>s ，全开时间4 s，连续开门8 h，然后关门继续运行16 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845" w:type="dxa"/>
            <w:vMerge w:val="continue"/>
            <w:vAlign w:val="center"/>
          </w:tcPr>
          <w:p>
            <w:pPr>
              <w:pStyle w:val="259"/>
              <w:autoSpaceDE/>
              <w:autoSpaceDN/>
              <w:spacing w:before="0"/>
              <w:ind w:left="218" w:leftChars="104" w:right="179"/>
              <w:jc w:val="center"/>
              <w:rPr>
                <w:rFonts w:hAnsi="宋体"/>
                <w:color w:val="auto"/>
                <w:w w:val="105"/>
                <w:sz w:val="18"/>
                <w:szCs w:val="18"/>
                <w:highlight w:val="none"/>
                <w:lang w:eastAsia="zh-CN"/>
              </w:rPr>
            </w:pPr>
          </w:p>
        </w:tc>
        <w:tc>
          <w:tcPr>
            <w:tcW w:w="1286" w:type="dxa"/>
            <w:gridSpan w:val="2"/>
            <w:vMerge w:val="continue"/>
            <w:tcBorders>
              <w:righ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zh-CN"/>
              </w:rPr>
            </w:pPr>
          </w:p>
        </w:tc>
        <w:tc>
          <w:tcPr>
            <w:tcW w:w="2126" w:type="dxa"/>
            <w:tcBorders>
              <w:lef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蒸发器情况</w:t>
            </w:r>
          </w:p>
        </w:tc>
        <w:tc>
          <w:tcPr>
            <w:tcW w:w="546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无结冰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845" w:type="dxa"/>
            <w:vMerge w:val="continue"/>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1286" w:type="dxa"/>
            <w:gridSpan w:val="2"/>
            <w:vMerge w:val="continue"/>
            <w:tcBorders>
              <w:righ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2126" w:type="dxa"/>
            <w:tcBorders>
              <w:lef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冷凝水排水</w:t>
            </w:r>
          </w:p>
        </w:tc>
        <w:tc>
          <w:tcPr>
            <w:tcW w:w="546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无溢出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jc w:val="center"/>
        </w:trPr>
        <w:tc>
          <w:tcPr>
            <w:tcW w:w="845" w:type="dxa"/>
            <w:vMerge w:val="continue"/>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1286" w:type="dxa"/>
            <w:gridSpan w:val="2"/>
            <w:vMerge w:val="continue"/>
            <w:tcBorders>
              <w:righ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2126" w:type="dxa"/>
            <w:tcBorders>
              <w:lef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产品温度/℃</w:t>
            </w:r>
          </w:p>
        </w:tc>
        <w:tc>
          <w:tcPr>
            <w:tcW w:w="546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0</w:t>
            </w:r>
            <w:r>
              <w:rPr>
                <w:rFonts w:hint="eastAsia" w:hAnsi="宋体" w:cs="宋体"/>
                <w:color w:val="auto"/>
                <w:w w:val="105"/>
                <w:sz w:val="18"/>
                <w:szCs w:val="18"/>
                <w:highlight w:val="none"/>
                <w:lang w:eastAsia="en-US"/>
              </w:rPr>
              <w:t>～</w:t>
            </w:r>
            <w:r>
              <w:rPr>
                <w:rFonts w:hint="eastAsia" w:hAnsi="宋体"/>
                <w:color w:val="auto"/>
                <w:w w:val="105"/>
                <w:sz w:val="18"/>
                <w:szCs w:val="18"/>
                <w:highlight w:val="none"/>
                <w:lang w:eastAsia="en-US"/>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845" w:type="dxa"/>
            <w:vMerge w:val="continue"/>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1286" w:type="dxa"/>
            <w:gridSpan w:val="2"/>
            <w:vMerge w:val="continue"/>
            <w:tcBorders>
              <w:righ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p>
        </w:tc>
        <w:tc>
          <w:tcPr>
            <w:tcW w:w="2126" w:type="dxa"/>
            <w:tcBorders>
              <w:left w:val="single" w:color="auto" w:sz="4" w:space="0"/>
            </w:tcBorders>
            <w:vAlign w:val="center"/>
          </w:tcPr>
          <w:p>
            <w:pPr>
              <w:pStyle w:val="259"/>
              <w:autoSpaceDE/>
              <w:autoSpaceDN/>
              <w:spacing w:before="0"/>
              <w:ind w:left="218" w:leftChars="104" w:right="179"/>
              <w:jc w:val="center"/>
              <w:rPr>
                <w:rFonts w:hAnsi="宋体"/>
                <w:color w:val="auto"/>
                <w:w w:val="105"/>
                <w:sz w:val="18"/>
                <w:szCs w:val="18"/>
                <w:highlight w:val="none"/>
                <w:lang w:eastAsia="en-US"/>
              </w:rPr>
            </w:pPr>
            <w:r>
              <w:rPr>
                <w:rFonts w:hint="eastAsia" w:hAnsi="宋体"/>
                <w:color w:val="auto"/>
                <w:w w:val="105"/>
                <w:sz w:val="18"/>
                <w:szCs w:val="18"/>
                <w:highlight w:val="none"/>
                <w:lang w:eastAsia="en-US"/>
              </w:rPr>
              <w:t>玻璃门凝露</w:t>
            </w:r>
          </w:p>
        </w:tc>
        <w:tc>
          <w:tcPr>
            <w:tcW w:w="5462" w:type="dxa"/>
            <w:gridSpan w:val="3"/>
            <w:vAlign w:val="center"/>
          </w:tcPr>
          <w:p>
            <w:pPr>
              <w:pStyle w:val="259"/>
              <w:autoSpaceDE/>
              <w:autoSpaceDN/>
              <w:spacing w:before="0"/>
              <w:ind w:left="218" w:leftChars="104" w:right="179"/>
              <w:jc w:val="center"/>
              <w:rPr>
                <w:rFonts w:hAnsi="宋体"/>
                <w:color w:val="auto"/>
                <w:w w:val="105"/>
                <w:sz w:val="18"/>
                <w:szCs w:val="18"/>
                <w:highlight w:val="none"/>
                <w:lang w:eastAsia="zh-CN"/>
              </w:rPr>
            </w:pPr>
            <w:r>
              <w:rPr>
                <w:rFonts w:hint="eastAsia" w:hAnsi="宋体"/>
                <w:color w:val="auto"/>
                <w:w w:val="105"/>
                <w:sz w:val="18"/>
                <w:szCs w:val="18"/>
                <w:highlight w:val="none"/>
                <w:lang w:eastAsia="zh-CN"/>
              </w:rPr>
              <w:t>无流水状凝露和持久珠状凝露，雾状凝露面积&lt;5%</w:t>
            </w:r>
          </w:p>
        </w:tc>
      </w:tr>
    </w:tbl>
    <w:p>
      <w:pPr>
        <w:pStyle w:val="123"/>
        <w:spacing w:before="156" w:after="156"/>
        <w:rPr>
          <w:rFonts w:ascii="宋体" w:hAnsi="宋体" w:eastAsia="宋体" w:cs="宋体"/>
          <w:color w:val="auto"/>
          <w:w w:val="105"/>
          <w:highlight w:val="none"/>
        </w:rPr>
      </w:pPr>
      <w:r>
        <w:rPr>
          <w:rFonts w:hint="eastAsia" w:ascii="宋体" w:hAnsi="宋体" w:eastAsia="宋体" w:cs="宋体"/>
          <w:color w:val="auto"/>
          <w:w w:val="105"/>
          <w:highlight w:val="none"/>
        </w:rPr>
        <w:t>对于陈列柜，其气候类型分类按表3中的0～10类之一。</w:t>
      </w:r>
    </w:p>
    <w:p>
      <w:pPr>
        <w:pStyle w:val="208"/>
        <w:tabs>
          <w:tab w:val="left" w:pos="0"/>
        </w:tabs>
        <w:spacing w:before="156" w:after="156"/>
        <w:rPr>
          <w:color w:val="auto"/>
          <w:w w:val="105"/>
          <w:highlight w:val="none"/>
        </w:rPr>
      </w:pPr>
      <w:r>
        <w:rPr>
          <w:rFonts w:hint="eastAsia"/>
          <w:color w:val="auto"/>
          <w:w w:val="105"/>
          <w:highlight w:val="none"/>
        </w:rPr>
        <w:t>陈</w:t>
      </w:r>
      <w:r>
        <w:rPr>
          <w:color w:val="auto"/>
          <w:w w:val="105"/>
          <w:highlight w:val="none"/>
        </w:rPr>
        <w:t>列柜气候类型分类</w:t>
      </w:r>
    </w:p>
    <w:tbl>
      <w:tblPr>
        <w:tblStyle w:val="260"/>
        <w:tblW w:w="96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0"/>
        <w:gridCol w:w="1762"/>
        <w:gridCol w:w="1591"/>
        <w:gridCol w:w="1591"/>
        <w:gridCol w:w="1545"/>
        <w:gridCol w:w="1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bookmarkStart w:id="18" w:name="OLE_LINK8" w:colFirst="0" w:colLast="5"/>
            <w:r>
              <w:rPr>
                <w:rFonts w:hint="eastAsia" w:hAnsi="宋体" w:cs="宋体"/>
                <w:color w:val="auto"/>
                <w:w w:val="105"/>
                <w:sz w:val="18"/>
                <w:szCs w:val="18"/>
                <w:highlight w:val="none"/>
                <w:lang w:eastAsia="en-US"/>
              </w:rPr>
              <w:t>气候类型</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rPr>
            </w:pPr>
            <w:r>
              <w:rPr>
                <w:rFonts w:hint="eastAsia" w:hAnsi="宋体" w:cs="宋体"/>
                <w:color w:val="auto"/>
                <w:w w:val="105"/>
                <w:sz w:val="18"/>
                <w:szCs w:val="18"/>
                <w:highlight w:val="none"/>
                <w:lang w:eastAsia="en-US"/>
              </w:rPr>
              <w:t>干球温度</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rPr>
            </w:pPr>
            <w:r>
              <w:rPr>
                <w:rFonts w:hint="eastAsia" w:hAnsi="宋体" w:cs="宋体"/>
                <w:color w:val="auto"/>
                <w:w w:val="105"/>
                <w:sz w:val="18"/>
                <w:szCs w:val="18"/>
                <w:highlight w:val="none"/>
                <w:lang w:eastAsia="en-US"/>
              </w:rPr>
              <w:t>相对湿度</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露点温度</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含湿量</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g/kg</w:t>
            </w:r>
          </w:p>
        </w:tc>
        <w:tc>
          <w:tcPr>
            <w:tcW w:w="1748" w:type="dxa"/>
            <w:vAlign w:val="center"/>
          </w:tcPr>
          <w:p>
            <w:pPr>
              <w:pStyle w:val="259"/>
              <w:spacing w:before="0"/>
              <w:ind w:left="200" w:right="58" w:firstLine="17" w:firstLineChars="9"/>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工作温度范围</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r>
      <w:bookmarkEnd w:id="18"/>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0</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50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9.3</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7.3</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w:t>
            </w:r>
            <w:bookmarkStart w:id="19" w:name="OLE_LINK1"/>
            <w:r>
              <w:rPr>
                <w:rFonts w:hint="eastAsia" w:hAnsi="宋体" w:cs="宋体"/>
                <w:color w:val="auto"/>
                <w:w w:val="105"/>
                <w:sz w:val="18"/>
                <w:szCs w:val="18"/>
                <w:highlight w:val="none"/>
                <w:lang w:eastAsia="en-US"/>
              </w:rPr>
              <w:t>～</w:t>
            </w:r>
            <w:bookmarkEnd w:id="19"/>
            <w:r>
              <w:rPr>
                <w:rFonts w:hint="eastAsia" w:hAnsi="宋体" w:cs="宋体"/>
                <w:color w:val="auto"/>
                <w:w w:val="105"/>
                <w:sz w:val="18"/>
                <w:szCs w:val="18"/>
                <w:highlight w:val="none"/>
                <w:lang w:eastAsia="en-US"/>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80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12.6</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9.1</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8</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24</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55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14.4</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10.2</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22</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65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15.2</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10.8</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3</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60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16.7</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rPr>
            </w:pPr>
            <w:r>
              <w:rPr>
                <w:rFonts w:hint="eastAsia" w:hAnsi="宋体" w:cs="宋体"/>
                <w:color w:val="auto"/>
                <w:w w:val="105"/>
                <w:sz w:val="18"/>
                <w:szCs w:val="18"/>
                <w:highlight w:val="none"/>
                <w:lang w:eastAsia="en-US"/>
              </w:rPr>
              <w:t>12</w:t>
            </w:r>
            <w:r>
              <w:rPr>
                <w:rFonts w:hint="eastAsia" w:hAnsi="宋体" w:cs="宋体"/>
                <w:color w:val="auto"/>
                <w:w w:val="105"/>
                <w:sz w:val="18"/>
                <w:szCs w:val="18"/>
                <w:highlight w:val="none"/>
              </w:rPr>
              <w:t>.0</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16～32</w:t>
            </w:r>
          </w:p>
        </w:tc>
      </w:tr>
    </w:tbl>
    <w:p>
      <w:pPr>
        <w:pStyle w:val="259"/>
        <w:spacing w:before="0"/>
        <w:ind w:left="235" w:right="150" w:firstLine="18" w:firstLineChars="10"/>
        <w:jc w:val="center"/>
        <w:rPr>
          <w:rFonts w:hint="eastAsia" w:hAnsi="宋体" w:cs="宋体"/>
          <w:color w:val="auto"/>
          <w:w w:val="105"/>
          <w:sz w:val="18"/>
          <w:szCs w:val="18"/>
          <w:highlight w:val="none"/>
          <w:lang w:eastAsia="en-US"/>
        </w:rPr>
      </w:pPr>
    </w:p>
    <w:p>
      <w:pPr>
        <w:pStyle w:val="259"/>
        <w:keepNext w:val="0"/>
        <w:keepLines w:val="0"/>
        <w:pageBreakBefore w:val="0"/>
        <w:widowControl w:val="0"/>
        <w:kinsoku/>
        <w:wordWrap/>
        <w:overflowPunct/>
        <w:topLinePunct w:val="0"/>
        <w:autoSpaceDE/>
        <w:autoSpaceDN/>
        <w:bidi w:val="0"/>
        <w:adjustRightInd/>
        <w:snapToGrid/>
        <w:spacing w:before="157" w:beforeLines="50" w:after="157" w:afterLines="50"/>
        <w:ind w:left="232" w:right="147" w:firstLine="22" w:firstLineChars="10"/>
        <w:jc w:val="center"/>
        <w:textAlignment w:val="auto"/>
        <w:rPr>
          <w:rFonts w:hint="eastAsia" w:hAnsi="宋体" w:cs="宋体"/>
          <w:color w:val="auto"/>
          <w:w w:val="105"/>
          <w:sz w:val="18"/>
          <w:szCs w:val="18"/>
          <w:highlight w:val="none"/>
          <w:lang w:eastAsia="en-US"/>
        </w:rPr>
      </w:pPr>
      <w:r>
        <w:rPr>
          <w:rFonts w:hint="eastAsia" w:ascii="黑体" w:hAnsi="黑体" w:eastAsia="黑体" w:cs="黑体"/>
          <w:color w:val="auto"/>
          <w:w w:val="105"/>
          <w:sz w:val="21"/>
          <w:szCs w:val="21"/>
          <w:highlight w:val="none"/>
          <w:lang w:val="en-US" w:eastAsia="zh-CN"/>
        </w:rPr>
        <w:t>表3</w:t>
      </w:r>
      <w:r>
        <w:rPr>
          <w:rFonts w:hint="eastAsia" w:hAnsi="宋体"/>
          <w:color w:val="auto"/>
          <w:w w:val="105"/>
          <w:sz w:val="21"/>
          <w:szCs w:val="21"/>
          <w:highlight w:val="none"/>
          <w:lang w:val="en-US" w:eastAsia="zh-CN"/>
        </w:rPr>
        <w:t>（续）</w:t>
      </w:r>
    </w:p>
    <w:tbl>
      <w:tblPr>
        <w:tblStyle w:val="260"/>
        <w:tblW w:w="96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0"/>
        <w:gridCol w:w="1762"/>
        <w:gridCol w:w="1591"/>
        <w:gridCol w:w="1591"/>
        <w:gridCol w:w="1545"/>
        <w:gridCol w:w="1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气候类型</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rPr>
            </w:pPr>
            <w:r>
              <w:rPr>
                <w:rFonts w:hint="eastAsia" w:hAnsi="宋体" w:cs="宋体"/>
                <w:color w:val="auto"/>
                <w:w w:val="105"/>
                <w:sz w:val="18"/>
                <w:szCs w:val="18"/>
                <w:highlight w:val="none"/>
                <w:lang w:eastAsia="en-US"/>
              </w:rPr>
              <w:t>干球温度</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rPr>
            </w:pPr>
            <w:r>
              <w:rPr>
                <w:rFonts w:hint="eastAsia" w:hAnsi="宋体" w:cs="宋体"/>
                <w:color w:val="auto"/>
                <w:w w:val="105"/>
                <w:sz w:val="18"/>
                <w:szCs w:val="18"/>
                <w:highlight w:val="none"/>
                <w:lang w:eastAsia="en-US"/>
              </w:rPr>
              <w:t>相对湿度</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露点温度</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含湿量</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g/kg</w:t>
            </w:r>
          </w:p>
        </w:tc>
        <w:tc>
          <w:tcPr>
            <w:tcW w:w="1748" w:type="dxa"/>
            <w:vAlign w:val="center"/>
          </w:tcPr>
          <w:p>
            <w:pPr>
              <w:pStyle w:val="259"/>
              <w:spacing w:before="0"/>
              <w:ind w:left="200" w:right="58" w:firstLine="17" w:firstLineChars="9"/>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工作温度范围</w:t>
            </w:r>
            <w:r>
              <w:rPr>
                <w:rFonts w:hint="eastAsia" w:hAnsi="宋体" w:cs="宋体"/>
                <w:color w:val="auto"/>
                <w:w w:val="105"/>
                <w:sz w:val="18"/>
                <w:szCs w:val="18"/>
                <w:highlight w:val="none"/>
              </w:rPr>
              <w:t>,</w:t>
            </w:r>
            <w:r>
              <w:rPr>
                <w:rFonts w:hint="eastAsia" w:hAnsi="宋体" w:cs="宋体"/>
                <w:color w:val="auto"/>
                <w:w w:val="105"/>
                <w:sz w:val="18"/>
                <w:szCs w:val="18"/>
                <w:highlight w:val="none"/>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4</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30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55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rPr>
            </w:pPr>
            <w:r>
              <w:rPr>
                <w:rFonts w:hint="eastAsia" w:hAnsi="宋体" w:cs="宋体"/>
                <w:color w:val="auto"/>
                <w:w w:val="105"/>
                <w:sz w:val="18"/>
                <w:szCs w:val="18"/>
                <w:highlight w:val="none"/>
                <w:lang w:eastAsia="en-US"/>
              </w:rPr>
              <w:t>20</w:t>
            </w:r>
            <w:r>
              <w:rPr>
                <w:rFonts w:hint="eastAsia" w:hAnsi="宋体" w:cs="宋体"/>
                <w:color w:val="auto"/>
                <w:w w:val="105"/>
                <w:sz w:val="18"/>
                <w:szCs w:val="18"/>
                <w:highlight w:val="none"/>
              </w:rPr>
              <w:t>.0</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14.8</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6</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27</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70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21.1</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15.8</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5</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40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40</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23.9</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18.8</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7</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35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75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30.0</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27.3</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9</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32</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65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24.6</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19.6</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420"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10</w:t>
            </w:r>
          </w:p>
        </w:tc>
        <w:tc>
          <w:tcPr>
            <w:tcW w:w="1762"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41</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75</w:t>
            </w:r>
          </w:p>
        </w:tc>
        <w:tc>
          <w:tcPr>
            <w:tcW w:w="1591"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35.7</w:t>
            </w:r>
          </w:p>
        </w:tc>
        <w:tc>
          <w:tcPr>
            <w:tcW w:w="1545" w:type="dxa"/>
            <w:vAlign w:val="center"/>
          </w:tcPr>
          <w:p>
            <w:pPr>
              <w:pStyle w:val="259"/>
              <w:spacing w:before="0"/>
              <w:ind w:left="235" w:right="150" w:firstLine="18" w:firstLineChars="10"/>
              <w:jc w:val="center"/>
              <w:rPr>
                <w:rFonts w:hAnsi="宋体" w:cs="宋体"/>
                <w:color w:val="auto"/>
                <w:w w:val="105"/>
                <w:sz w:val="18"/>
                <w:szCs w:val="18"/>
                <w:highlight w:val="none"/>
              </w:rPr>
            </w:pPr>
            <w:r>
              <w:rPr>
                <w:rFonts w:hint="eastAsia" w:hAnsi="宋体" w:cs="宋体"/>
                <w:color w:val="auto"/>
                <w:w w:val="105"/>
                <w:sz w:val="18"/>
                <w:szCs w:val="18"/>
                <w:highlight w:val="none"/>
                <w:lang w:eastAsia="en-US"/>
              </w:rPr>
              <w:t>38</w:t>
            </w:r>
            <w:r>
              <w:rPr>
                <w:rFonts w:hint="eastAsia" w:hAnsi="宋体" w:cs="宋体"/>
                <w:color w:val="auto"/>
                <w:w w:val="105"/>
                <w:sz w:val="18"/>
                <w:szCs w:val="18"/>
                <w:highlight w:val="none"/>
              </w:rPr>
              <w:t>.0</w:t>
            </w:r>
          </w:p>
        </w:tc>
        <w:tc>
          <w:tcPr>
            <w:tcW w:w="1748" w:type="dxa"/>
            <w:vAlign w:val="center"/>
          </w:tcPr>
          <w:p>
            <w:pPr>
              <w:pStyle w:val="259"/>
              <w:spacing w:before="0"/>
              <w:ind w:left="235" w:right="150" w:firstLine="18" w:firstLineChars="10"/>
              <w:jc w:val="center"/>
              <w:rPr>
                <w:rFonts w:hAnsi="宋体" w:cs="宋体"/>
                <w:color w:val="auto"/>
                <w:w w:val="105"/>
                <w:sz w:val="18"/>
                <w:szCs w:val="18"/>
                <w:highlight w:val="none"/>
                <w:lang w:eastAsia="en-US"/>
              </w:rPr>
            </w:pPr>
            <w:r>
              <w:rPr>
                <w:rFonts w:hint="eastAsia" w:hAnsi="宋体" w:cs="宋体"/>
                <w:color w:val="auto"/>
                <w:w w:val="105"/>
                <w:sz w:val="18"/>
                <w:szCs w:val="18"/>
                <w:highlight w:val="none"/>
                <w:lang w:eastAsia="en-US"/>
              </w:rPr>
              <w:t>16～43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9657" w:type="dxa"/>
            <w:gridSpan w:val="6"/>
          </w:tcPr>
          <w:p>
            <w:pPr>
              <w:pStyle w:val="259"/>
              <w:spacing w:before="0"/>
              <w:ind w:left="310"/>
              <w:rPr>
                <w:rFonts w:hAnsi="宋体" w:cs="宋体"/>
                <w:color w:val="auto"/>
                <w:sz w:val="18"/>
                <w:szCs w:val="18"/>
                <w:highlight w:val="none"/>
              </w:rPr>
            </w:pPr>
            <w:r>
              <w:rPr>
                <w:rFonts w:hint="eastAsia" w:ascii="黑体" w:hAnsi="黑体" w:eastAsia="黑体" w:cs="黑体"/>
                <w:color w:val="auto"/>
                <w:w w:val="105"/>
                <w:sz w:val="18"/>
                <w:szCs w:val="18"/>
                <w:highlight w:val="none"/>
              </w:rPr>
              <w:t xml:space="preserve">注： </w:t>
            </w:r>
            <w:r>
              <w:rPr>
                <w:rFonts w:hint="eastAsia" w:hAnsi="宋体" w:cs="宋体"/>
                <w:color w:val="auto"/>
                <w:w w:val="105"/>
                <w:sz w:val="18"/>
                <w:szCs w:val="18"/>
                <w:highlight w:val="none"/>
              </w:rPr>
              <w:t xml:space="preserve">表3的0～7级是按干空气中的水蒸汽质量含量(含湿量)来排列的,它是影响陈列柜性能和能耗的重要参数,因此本表中气候类型的顾序是根据含湿量那一列排序的。0-8级的排列与GB/T 21001.2(ISO 23953-2)的表3一致。 </w:t>
            </w:r>
          </w:p>
        </w:tc>
      </w:tr>
    </w:tbl>
    <w:p>
      <w:pPr>
        <w:pStyle w:val="121"/>
        <w:spacing w:before="156" w:after="156"/>
        <w:rPr>
          <w:color w:val="auto"/>
          <w:szCs w:val="21"/>
          <w:highlight w:val="none"/>
        </w:rPr>
      </w:pPr>
      <w:r>
        <w:rPr>
          <w:rFonts w:hint="eastAsia"/>
          <w:color w:val="auto"/>
          <w:spacing w:val="-2"/>
          <w:w w:val="105"/>
          <w:szCs w:val="21"/>
          <w:highlight w:val="none"/>
        </w:rPr>
        <w:t>启动性能</w:t>
      </w:r>
    </w:p>
    <w:p>
      <w:pPr>
        <w:pStyle w:val="234"/>
        <w:rPr>
          <w:color w:val="auto"/>
          <w:highlight w:val="none"/>
        </w:rPr>
      </w:pPr>
      <w:r>
        <w:rPr>
          <w:rFonts w:hint="eastAsia" w:hAnsi="宋体"/>
          <w:color w:val="auto"/>
          <w:highlight w:val="none"/>
        </w:rPr>
        <w:t>应具有良好的启动性能，按6</w:t>
      </w:r>
      <w:r>
        <w:rPr>
          <w:rFonts w:hAnsi="宋体"/>
          <w:color w:val="auto"/>
          <w:highlight w:val="none"/>
        </w:rPr>
        <w:t>.</w:t>
      </w:r>
      <w:r>
        <w:rPr>
          <w:rFonts w:hint="eastAsia" w:hAnsi="宋体"/>
          <w:color w:val="auto"/>
          <w:highlight w:val="none"/>
        </w:rPr>
        <w:t>5</w:t>
      </w:r>
      <w:r>
        <w:rPr>
          <w:rFonts w:hAnsi="宋体"/>
          <w:color w:val="auto"/>
          <w:highlight w:val="none"/>
        </w:rPr>
        <w:t>.</w:t>
      </w:r>
      <w:r>
        <w:rPr>
          <w:rFonts w:hint="eastAsia" w:hAnsi="宋体"/>
          <w:color w:val="auto"/>
          <w:highlight w:val="none"/>
        </w:rPr>
        <w:t>2的方法进行降电压</w:t>
      </w:r>
      <w:r>
        <w:rPr>
          <w:rFonts w:hAnsi="宋体"/>
          <w:color w:val="auto"/>
          <w:highlight w:val="none"/>
        </w:rPr>
        <w:t>15%</w:t>
      </w:r>
      <w:r>
        <w:rPr>
          <w:rFonts w:hint="eastAsia" w:hAnsi="宋体"/>
          <w:color w:val="auto"/>
          <w:highlight w:val="none"/>
        </w:rPr>
        <w:t>启动试验时，陈</w:t>
      </w:r>
      <w:r>
        <w:rPr>
          <w:rFonts w:hAnsi="宋体"/>
          <w:color w:val="auto"/>
          <w:highlight w:val="none"/>
        </w:rPr>
        <w:t>列柜</w:t>
      </w:r>
      <w:r>
        <w:rPr>
          <w:rFonts w:hint="eastAsia" w:hAnsi="宋体"/>
          <w:color w:val="auto"/>
          <w:highlight w:val="none"/>
        </w:rPr>
        <w:t>应能正常起动降温，装在陈列柜上的任何保护装置不应动作</w:t>
      </w:r>
      <w:r>
        <w:rPr>
          <w:rFonts w:hint="eastAsia"/>
          <w:color w:val="auto"/>
          <w:highlight w:val="none"/>
        </w:rPr>
        <w:t>。</w:t>
      </w:r>
    </w:p>
    <w:p>
      <w:pPr>
        <w:pStyle w:val="121"/>
        <w:spacing w:before="156" w:after="156"/>
        <w:rPr>
          <w:color w:val="auto"/>
          <w:szCs w:val="21"/>
          <w:highlight w:val="none"/>
        </w:rPr>
      </w:pPr>
      <w:r>
        <w:rPr>
          <w:color w:val="auto"/>
          <w:highlight w:val="none"/>
        </w:rPr>
        <w:t>电压变动</w:t>
      </w:r>
    </w:p>
    <w:p>
      <w:pPr>
        <w:pStyle w:val="234"/>
        <w:rPr>
          <w:color w:val="auto"/>
          <w:highlight w:val="none"/>
        </w:rPr>
      </w:pPr>
      <w:bookmarkStart w:id="20" w:name="OLE_LINK16"/>
      <w:r>
        <w:rPr>
          <w:rFonts w:hint="eastAsia"/>
          <w:color w:val="auto"/>
          <w:highlight w:val="none"/>
        </w:rPr>
        <w:t>应能适应电网电压的波动，按</w:t>
      </w:r>
      <w:r>
        <w:rPr>
          <w:rFonts w:hint="eastAsia" w:hAnsi="宋体"/>
          <w:color w:val="auto"/>
          <w:highlight w:val="none"/>
        </w:rPr>
        <w:t>6</w:t>
      </w:r>
      <w:r>
        <w:rPr>
          <w:rFonts w:hAnsi="宋体"/>
          <w:color w:val="auto"/>
          <w:highlight w:val="none"/>
        </w:rPr>
        <w:t>.</w:t>
      </w:r>
      <w:r>
        <w:rPr>
          <w:rFonts w:hint="eastAsia" w:hAnsi="宋体"/>
          <w:color w:val="auto"/>
          <w:highlight w:val="none"/>
        </w:rPr>
        <w:t>5</w:t>
      </w:r>
      <w:r>
        <w:rPr>
          <w:rFonts w:hAnsi="宋体"/>
          <w:color w:val="auto"/>
          <w:highlight w:val="none"/>
        </w:rPr>
        <w:t>.</w:t>
      </w:r>
      <w:r>
        <w:rPr>
          <w:rFonts w:hint="eastAsia" w:hAnsi="宋体"/>
          <w:color w:val="auto"/>
          <w:highlight w:val="none"/>
        </w:rPr>
        <w:t>3的</w:t>
      </w:r>
      <w:r>
        <w:rPr>
          <w:rFonts w:hint="eastAsia" w:ascii="TimesNewRomanPSMT" w:hAnsi="TimesNewRomanPSMT" w:cs="TimesNewRomanPSMT"/>
          <w:color w:val="auto"/>
          <w:highlight w:val="none"/>
        </w:rPr>
        <w:t>方法</w:t>
      </w:r>
      <w:r>
        <w:rPr>
          <w:rFonts w:hint="eastAsia"/>
          <w:color w:val="auto"/>
          <w:highlight w:val="none"/>
        </w:rPr>
        <w:t>进行试验时，</w:t>
      </w:r>
      <w:r>
        <w:rPr>
          <w:rFonts w:hint="eastAsia" w:hAnsi="宋体"/>
          <w:color w:val="auto"/>
          <w:highlight w:val="none"/>
        </w:rPr>
        <w:t>陈列柜</w:t>
      </w:r>
      <w:r>
        <w:rPr>
          <w:rFonts w:hint="eastAsia"/>
          <w:color w:val="auto"/>
          <w:highlight w:val="none"/>
        </w:rPr>
        <w:t>应运行正常，机组各部件不能出现故障，不应出现热过载保护，柜内温度应能保持正常</w:t>
      </w:r>
      <w:bookmarkEnd w:id="20"/>
      <w:r>
        <w:rPr>
          <w:rFonts w:hint="eastAsia"/>
          <w:color w:val="auto"/>
          <w:highlight w:val="none"/>
        </w:rPr>
        <w:t>。</w:t>
      </w:r>
    </w:p>
    <w:p>
      <w:pPr>
        <w:pStyle w:val="121"/>
        <w:spacing w:before="156" w:after="156"/>
        <w:rPr>
          <w:color w:val="auto"/>
          <w:szCs w:val="21"/>
          <w:highlight w:val="none"/>
        </w:rPr>
      </w:pPr>
      <w:bookmarkStart w:id="21" w:name="OLE_LINK17"/>
      <w:r>
        <w:rPr>
          <w:color w:val="auto"/>
          <w:spacing w:val="-3"/>
          <w:w w:val="105"/>
          <w:sz w:val="20"/>
          <w:highlight w:val="none"/>
        </w:rPr>
        <w:t>半载降温试验</w:t>
      </w:r>
      <w:bookmarkEnd w:id="21"/>
    </w:p>
    <w:p>
      <w:pPr>
        <w:ind w:left="645" w:hanging="644" w:hangingChars="307"/>
        <w:rPr>
          <w:color w:val="auto"/>
          <w:sz w:val="24"/>
          <w:szCs w:val="24"/>
          <w:highlight w:val="none"/>
        </w:rPr>
      </w:pPr>
      <w:r>
        <w:rPr>
          <w:rFonts w:hint="eastAsia"/>
          <w:color w:val="auto"/>
          <w:highlight w:val="none"/>
        </w:rPr>
        <w:t xml:space="preserve">  </w:t>
      </w:r>
      <w:r>
        <w:rPr>
          <w:rFonts w:hint="eastAsia"/>
          <w:color w:val="auto"/>
          <w:sz w:val="24"/>
          <w:szCs w:val="24"/>
          <w:highlight w:val="none"/>
        </w:rPr>
        <w:t xml:space="preserve"> </w:t>
      </w:r>
      <w:bookmarkStart w:id="22" w:name="OLE_LINK18"/>
      <w:r>
        <w:rPr>
          <w:rFonts w:hint="eastAsia"/>
          <w:color w:val="auto"/>
          <w:highlight w:val="none"/>
        </w:rPr>
        <w:t>对饮料冷藏陈列柜，按6.5.4的要求进行试验，试验结束后，符合表2的要求</w:t>
      </w:r>
      <w:bookmarkEnd w:id="22"/>
      <w:r>
        <w:rPr>
          <w:rFonts w:hint="eastAsia"/>
          <w:color w:val="auto"/>
          <w:highlight w:val="none"/>
        </w:rPr>
        <w:t>。</w:t>
      </w:r>
    </w:p>
    <w:p>
      <w:pPr>
        <w:pStyle w:val="121"/>
        <w:spacing w:before="156" w:after="156"/>
        <w:rPr>
          <w:color w:val="auto"/>
          <w:w w:val="105"/>
          <w:szCs w:val="21"/>
          <w:highlight w:val="none"/>
        </w:rPr>
      </w:pPr>
      <w:r>
        <w:rPr>
          <w:rFonts w:hint="eastAsia"/>
          <w:color w:val="auto"/>
          <w:w w:val="105"/>
          <w:szCs w:val="21"/>
          <w:highlight w:val="none"/>
        </w:rPr>
        <w:t>水蒸气凝结</w:t>
      </w:r>
    </w:p>
    <w:p>
      <w:pPr>
        <w:pStyle w:val="23"/>
        <w:ind w:firstLine="420"/>
        <w:rPr>
          <w:color w:val="auto"/>
          <w:highlight w:val="none"/>
        </w:rPr>
      </w:pPr>
      <w:bookmarkStart w:id="23" w:name="OLE_LINK19"/>
      <w:r>
        <w:rPr>
          <w:rFonts w:hint="eastAsia"/>
          <w:color w:val="auto"/>
          <w:highlight w:val="none"/>
        </w:rPr>
        <w:t>按6.5.5的方法进行</w:t>
      </w:r>
      <w:r>
        <w:rPr>
          <w:rFonts w:hint="eastAsia" w:hAnsi="黑体"/>
          <w:color w:val="auto"/>
          <w:w w:val="105"/>
          <w:szCs w:val="21"/>
          <w:highlight w:val="none"/>
        </w:rPr>
        <w:t>水蒸气凝结</w:t>
      </w:r>
      <w:r>
        <w:rPr>
          <w:rFonts w:hint="eastAsia"/>
          <w:color w:val="auto"/>
          <w:highlight w:val="none"/>
        </w:rPr>
        <w:t>试验时，陈列柜外表面不允许出现流水状的凝露</w:t>
      </w:r>
      <w:bookmarkEnd w:id="23"/>
      <w:r>
        <w:rPr>
          <w:rFonts w:hint="eastAsia"/>
          <w:color w:val="auto"/>
          <w:highlight w:val="none"/>
        </w:rPr>
        <w:t>。</w:t>
      </w:r>
    </w:p>
    <w:p>
      <w:pPr>
        <w:pStyle w:val="121"/>
        <w:spacing w:before="156" w:after="156"/>
        <w:rPr>
          <w:color w:val="auto"/>
          <w:w w:val="105"/>
          <w:szCs w:val="21"/>
          <w:highlight w:val="none"/>
        </w:rPr>
      </w:pPr>
      <w:bookmarkStart w:id="24" w:name="OLE_LINK20"/>
      <w:r>
        <w:rPr>
          <w:rFonts w:hint="eastAsia"/>
          <w:color w:val="auto"/>
          <w:w w:val="105"/>
          <w:szCs w:val="21"/>
          <w:highlight w:val="none"/>
        </w:rPr>
        <w:t>开门试验</w:t>
      </w:r>
      <w:bookmarkEnd w:id="24"/>
    </w:p>
    <w:p>
      <w:pPr>
        <w:pStyle w:val="23"/>
        <w:ind w:firstLine="420"/>
        <w:rPr>
          <w:color w:val="auto"/>
          <w:w w:val="105"/>
          <w:highlight w:val="none"/>
        </w:rPr>
      </w:pPr>
      <w:bookmarkStart w:id="25" w:name="OLE_LINK21"/>
      <w:r>
        <w:rPr>
          <w:color w:val="auto"/>
          <w:szCs w:val="21"/>
          <w:highlight w:val="none"/>
        </w:rPr>
        <w:t>对饮料冷藏陈列柜，</w:t>
      </w:r>
      <w:r>
        <w:rPr>
          <w:color w:val="auto"/>
          <w:w w:val="105"/>
          <w:szCs w:val="21"/>
          <w:highlight w:val="none"/>
        </w:rPr>
        <w:t>按</w:t>
      </w:r>
      <w:r>
        <w:rPr>
          <w:rFonts w:hint="eastAsia"/>
          <w:color w:val="auto"/>
          <w:w w:val="105"/>
          <w:szCs w:val="21"/>
          <w:highlight w:val="none"/>
        </w:rPr>
        <w:t>6.5.6</w:t>
      </w:r>
      <w:r>
        <w:rPr>
          <w:color w:val="auto"/>
          <w:w w:val="105"/>
          <w:szCs w:val="21"/>
          <w:highlight w:val="none"/>
        </w:rPr>
        <w:t>的要求进行试验，试验结束后，符合表</w:t>
      </w:r>
      <w:r>
        <w:rPr>
          <w:rFonts w:hint="eastAsia"/>
          <w:color w:val="auto"/>
          <w:w w:val="105"/>
          <w:szCs w:val="21"/>
          <w:highlight w:val="none"/>
        </w:rPr>
        <w:t>2</w:t>
      </w:r>
      <w:r>
        <w:rPr>
          <w:color w:val="auto"/>
          <w:w w:val="105"/>
          <w:szCs w:val="21"/>
          <w:highlight w:val="none"/>
        </w:rPr>
        <w:t>的要求</w:t>
      </w:r>
      <w:bookmarkEnd w:id="25"/>
      <w:r>
        <w:rPr>
          <w:color w:val="auto"/>
          <w:w w:val="105"/>
          <w:szCs w:val="21"/>
          <w:highlight w:val="none"/>
        </w:rPr>
        <w:t>。</w:t>
      </w:r>
    </w:p>
    <w:p>
      <w:pPr>
        <w:pStyle w:val="121"/>
        <w:spacing w:before="156" w:after="156"/>
        <w:rPr>
          <w:color w:val="auto"/>
          <w:w w:val="105"/>
          <w:szCs w:val="21"/>
          <w:highlight w:val="none"/>
        </w:rPr>
      </w:pPr>
      <w:bookmarkStart w:id="26" w:name="OLE_LINK22"/>
      <w:r>
        <w:rPr>
          <w:rFonts w:hint="eastAsia"/>
          <w:color w:val="auto"/>
          <w:w w:val="105"/>
          <w:szCs w:val="21"/>
          <w:highlight w:val="none"/>
        </w:rPr>
        <w:t>蒸发器结霜</w:t>
      </w:r>
      <w:bookmarkEnd w:id="26"/>
    </w:p>
    <w:p>
      <w:pPr>
        <w:pStyle w:val="23"/>
        <w:ind w:firstLine="420"/>
        <w:rPr>
          <w:color w:val="auto"/>
          <w:highlight w:val="none"/>
        </w:rPr>
      </w:pPr>
      <w:r>
        <w:rPr>
          <w:color w:val="auto"/>
          <w:szCs w:val="21"/>
          <w:highlight w:val="none"/>
        </w:rPr>
        <w:t>对饮料冷藏陈列柜，</w:t>
      </w:r>
      <w:r>
        <w:rPr>
          <w:color w:val="auto"/>
          <w:w w:val="105"/>
          <w:szCs w:val="21"/>
          <w:highlight w:val="none"/>
        </w:rPr>
        <w:t>按</w:t>
      </w:r>
      <w:r>
        <w:rPr>
          <w:rFonts w:hint="eastAsia"/>
          <w:color w:val="auto"/>
          <w:w w:val="105"/>
          <w:szCs w:val="21"/>
          <w:highlight w:val="none"/>
        </w:rPr>
        <w:t>6.5.7</w:t>
      </w:r>
      <w:r>
        <w:rPr>
          <w:color w:val="auto"/>
          <w:w w:val="105"/>
          <w:szCs w:val="21"/>
          <w:highlight w:val="none"/>
        </w:rPr>
        <w:t>的要求进行试验，试验结束后，符合表</w:t>
      </w:r>
      <w:r>
        <w:rPr>
          <w:rFonts w:hint="eastAsia"/>
          <w:color w:val="auto"/>
          <w:w w:val="105"/>
          <w:szCs w:val="21"/>
          <w:highlight w:val="none"/>
        </w:rPr>
        <w:t>2</w:t>
      </w:r>
      <w:r>
        <w:rPr>
          <w:color w:val="auto"/>
          <w:w w:val="105"/>
          <w:szCs w:val="21"/>
          <w:highlight w:val="none"/>
        </w:rPr>
        <w:t>的要求。</w:t>
      </w:r>
    </w:p>
    <w:p>
      <w:pPr>
        <w:pStyle w:val="121"/>
        <w:spacing w:before="156" w:after="156"/>
        <w:rPr>
          <w:color w:val="auto"/>
          <w:szCs w:val="21"/>
          <w:highlight w:val="none"/>
        </w:rPr>
      </w:pPr>
      <w:r>
        <w:rPr>
          <w:rFonts w:hint="eastAsia"/>
          <w:color w:val="auto"/>
          <w:szCs w:val="21"/>
          <w:highlight w:val="none"/>
        </w:rPr>
        <w:t>耗电量、能效指数</w:t>
      </w:r>
    </w:p>
    <w:p>
      <w:pPr>
        <w:pStyle w:val="133"/>
        <w:spacing w:before="156" w:beforeLines="50" w:after="156" w:afterLines="50"/>
        <w:rPr>
          <w:rFonts w:ascii="黑体" w:hAnsi="黑体" w:eastAsia="黑体"/>
          <w:color w:val="auto"/>
          <w:szCs w:val="21"/>
          <w:highlight w:val="none"/>
        </w:rPr>
      </w:pPr>
      <w:r>
        <w:rPr>
          <w:rFonts w:hint="eastAsia" w:ascii="黑体" w:hAnsi="黑体" w:eastAsia="黑体"/>
          <w:color w:val="auto"/>
          <w:szCs w:val="21"/>
          <w:highlight w:val="none"/>
        </w:rPr>
        <w:t>耗电量</w:t>
      </w:r>
    </w:p>
    <w:p>
      <w:pPr>
        <w:rPr>
          <w:color w:val="auto"/>
          <w:highlight w:val="none"/>
        </w:rPr>
      </w:pPr>
      <w:r>
        <w:rPr>
          <w:color w:val="auto"/>
          <w:szCs w:val="21"/>
          <w:highlight w:val="none"/>
        </w:rPr>
        <w:t xml:space="preserve">   </w:t>
      </w:r>
      <w:r>
        <w:rPr>
          <w:color w:val="auto"/>
          <w:highlight w:val="none"/>
        </w:rPr>
        <w:t xml:space="preserve"> </w:t>
      </w:r>
      <w:r>
        <w:rPr>
          <w:rFonts w:hint="eastAsia"/>
          <w:color w:val="auto"/>
          <w:highlight w:val="none"/>
        </w:rPr>
        <w:t>按6</w:t>
      </w:r>
      <w:r>
        <w:rPr>
          <w:color w:val="auto"/>
          <w:highlight w:val="none"/>
        </w:rPr>
        <w:t>.</w:t>
      </w:r>
      <w:r>
        <w:rPr>
          <w:rFonts w:hint="eastAsia"/>
          <w:color w:val="auto"/>
          <w:highlight w:val="none"/>
        </w:rPr>
        <w:t>5</w:t>
      </w:r>
      <w:r>
        <w:rPr>
          <w:color w:val="auto"/>
          <w:highlight w:val="none"/>
        </w:rPr>
        <w:t>.</w:t>
      </w:r>
      <w:r>
        <w:rPr>
          <w:rFonts w:hint="eastAsia"/>
          <w:color w:val="auto"/>
          <w:highlight w:val="none"/>
        </w:rPr>
        <w:t>8</w:t>
      </w:r>
      <w:r>
        <w:rPr>
          <w:rFonts w:hint="eastAsia"/>
          <w:color w:val="auto"/>
          <w:szCs w:val="21"/>
          <w:highlight w:val="none"/>
        </w:rPr>
        <w:t>的方法进行试验，耗电量应不大于额定值</w:t>
      </w:r>
      <w:r>
        <w:rPr>
          <w:rFonts w:hint="eastAsia"/>
          <w:color w:val="auto"/>
          <w:highlight w:val="none"/>
        </w:rPr>
        <w:t>。</w:t>
      </w:r>
    </w:p>
    <w:p>
      <w:pPr>
        <w:pStyle w:val="133"/>
        <w:spacing w:before="156" w:beforeLines="50" w:after="156" w:afterLines="50"/>
        <w:rPr>
          <w:rFonts w:ascii="黑体" w:hAnsi="黑体" w:eastAsia="黑体"/>
          <w:color w:val="auto"/>
          <w:szCs w:val="21"/>
          <w:highlight w:val="none"/>
        </w:rPr>
      </w:pPr>
      <w:r>
        <w:rPr>
          <w:rFonts w:hint="eastAsia" w:ascii="黑体" w:hAnsi="黑体" w:eastAsia="黑体"/>
          <w:color w:val="auto"/>
          <w:szCs w:val="21"/>
          <w:highlight w:val="none"/>
        </w:rPr>
        <w:t>能效指数</w:t>
      </w:r>
    </w:p>
    <w:p>
      <w:pPr>
        <w:pStyle w:val="23"/>
        <w:ind w:firstLine="197" w:firstLineChars="94"/>
        <w:rPr>
          <w:color w:val="auto"/>
          <w:highlight w:val="none"/>
        </w:rPr>
      </w:pPr>
      <w:r>
        <w:rPr>
          <w:rFonts w:hint="eastAsia"/>
          <w:color w:val="auto"/>
          <w:kern w:val="2"/>
          <w:szCs w:val="22"/>
          <w:highlight w:val="none"/>
        </w:rPr>
        <w:t>按6</w:t>
      </w:r>
      <w:r>
        <w:rPr>
          <w:color w:val="auto"/>
          <w:kern w:val="2"/>
          <w:szCs w:val="22"/>
          <w:highlight w:val="none"/>
        </w:rPr>
        <w:t>.</w:t>
      </w:r>
      <w:r>
        <w:rPr>
          <w:rFonts w:hint="eastAsia"/>
          <w:color w:val="auto"/>
          <w:kern w:val="2"/>
          <w:szCs w:val="22"/>
          <w:highlight w:val="none"/>
        </w:rPr>
        <w:t>5</w:t>
      </w:r>
      <w:r>
        <w:rPr>
          <w:color w:val="auto"/>
          <w:kern w:val="2"/>
          <w:szCs w:val="22"/>
          <w:highlight w:val="none"/>
        </w:rPr>
        <w:t>.</w:t>
      </w:r>
      <w:r>
        <w:rPr>
          <w:rFonts w:hint="eastAsia"/>
          <w:color w:val="auto"/>
          <w:kern w:val="2"/>
          <w:szCs w:val="22"/>
          <w:highlight w:val="none"/>
        </w:rPr>
        <w:t>8</w:t>
      </w:r>
      <w:r>
        <w:rPr>
          <w:rFonts w:hint="eastAsia" w:hAnsi="宋体"/>
          <w:color w:val="auto"/>
          <w:highlight w:val="none"/>
        </w:rPr>
        <w:t>的方法试验</w:t>
      </w:r>
      <w:r>
        <w:rPr>
          <w:rFonts w:hint="eastAsia"/>
          <w:color w:val="auto"/>
          <w:kern w:val="2"/>
          <w:szCs w:val="22"/>
          <w:highlight w:val="none"/>
        </w:rPr>
        <w:t>，能效指数应不大于</w:t>
      </w:r>
      <w:r>
        <w:rPr>
          <w:color w:val="auto"/>
          <w:kern w:val="2"/>
          <w:szCs w:val="22"/>
          <w:highlight w:val="none"/>
        </w:rPr>
        <w:t>5</w:t>
      </w:r>
      <w:r>
        <w:rPr>
          <w:rFonts w:hint="eastAsia"/>
          <w:color w:val="auto"/>
          <w:kern w:val="2"/>
          <w:szCs w:val="22"/>
          <w:highlight w:val="none"/>
        </w:rPr>
        <w:t>3</w:t>
      </w:r>
      <w:r>
        <w:rPr>
          <w:color w:val="auto"/>
          <w:kern w:val="2"/>
          <w:szCs w:val="22"/>
          <w:highlight w:val="none"/>
        </w:rPr>
        <w:t>%</w:t>
      </w:r>
      <w:r>
        <w:rPr>
          <w:rFonts w:hint="eastAsia"/>
          <w:color w:val="auto"/>
          <w:kern w:val="2"/>
          <w:szCs w:val="22"/>
          <w:highlight w:val="none"/>
        </w:rPr>
        <w:t>。</w:t>
      </w:r>
    </w:p>
    <w:p>
      <w:pPr>
        <w:pStyle w:val="119"/>
        <w:spacing w:before="156" w:after="156"/>
        <w:rPr>
          <w:rFonts w:hAnsi="黑体"/>
          <w:color w:val="auto"/>
          <w:szCs w:val="21"/>
          <w:highlight w:val="none"/>
        </w:rPr>
      </w:pPr>
      <w:r>
        <w:rPr>
          <w:rFonts w:hint="eastAsia" w:hAnsi="黑体"/>
          <w:color w:val="auto"/>
          <w:szCs w:val="21"/>
          <w:highlight w:val="none"/>
        </w:rPr>
        <w:t>噪声、振动</w:t>
      </w:r>
    </w:p>
    <w:p>
      <w:pPr>
        <w:pStyle w:val="121"/>
        <w:spacing w:before="156" w:after="156"/>
        <w:rPr>
          <w:color w:val="auto"/>
          <w:szCs w:val="21"/>
          <w:highlight w:val="none"/>
        </w:rPr>
      </w:pPr>
      <w:r>
        <w:rPr>
          <w:rFonts w:hint="eastAsia"/>
          <w:color w:val="auto"/>
          <w:spacing w:val="-2"/>
          <w:w w:val="105"/>
          <w:szCs w:val="21"/>
          <w:highlight w:val="none"/>
        </w:rPr>
        <w:t>噪声</w:t>
      </w:r>
    </w:p>
    <w:p>
      <w:pPr>
        <w:ind w:firstLine="420" w:firstLineChars="200"/>
        <w:rPr>
          <w:color w:val="auto"/>
          <w:highlight w:val="none"/>
        </w:rPr>
      </w:pPr>
      <w:r>
        <w:rPr>
          <w:rFonts w:hint="eastAsia"/>
          <w:color w:val="auto"/>
          <w:highlight w:val="none"/>
        </w:rPr>
        <w:t>按6</w:t>
      </w:r>
      <w:r>
        <w:rPr>
          <w:color w:val="auto"/>
          <w:highlight w:val="none"/>
        </w:rPr>
        <w:t>.</w:t>
      </w:r>
      <w:r>
        <w:rPr>
          <w:rFonts w:hint="eastAsia"/>
          <w:color w:val="auto"/>
          <w:highlight w:val="none"/>
        </w:rPr>
        <w:t>6</w:t>
      </w:r>
      <w:r>
        <w:rPr>
          <w:color w:val="auto"/>
          <w:highlight w:val="none"/>
        </w:rPr>
        <w:t>.1</w:t>
      </w:r>
      <w:r>
        <w:rPr>
          <w:rFonts w:hint="eastAsia"/>
          <w:color w:val="auto"/>
          <w:highlight w:val="none"/>
        </w:rPr>
        <w:t>的方法进行试验，噪声声压级应符合表4要求。</w:t>
      </w:r>
      <w:r>
        <w:rPr>
          <w:color w:val="auto"/>
          <w:sz w:val="18"/>
          <w:szCs w:val="18"/>
          <w:highlight w:val="none"/>
        </w:rPr>
        <w:t xml:space="preserve">   </w:t>
      </w:r>
    </w:p>
    <w:p>
      <w:pPr>
        <w:pStyle w:val="208"/>
        <w:tabs>
          <w:tab w:val="left" w:pos="0"/>
        </w:tabs>
        <w:spacing w:before="156" w:after="156"/>
        <w:rPr>
          <w:color w:val="auto"/>
          <w:highlight w:val="none"/>
        </w:rPr>
      </w:pPr>
      <w:r>
        <w:rPr>
          <w:rFonts w:hint="eastAsia"/>
          <w:color w:val="auto"/>
          <w:szCs w:val="21"/>
          <w:highlight w:val="none"/>
        </w:rPr>
        <w:t>噪声声压级要求</w:t>
      </w:r>
    </w:p>
    <w:tbl>
      <w:tblPr>
        <w:tblStyle w:val="18"/>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3248"/>
        <w:gridCol w:w="3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4" w:type="dxa"/>
            <w:vMerge w:val="restart"/>
            <w:vAlign w:val="center"/>
          </w:tcPr>
          <w:p>
            <w:pPr>
              <w:numPr>
                <w:ilvl w:val="0"/>
                <w:numId w:val="0"/>
              </w:numPr>
              <w:tabs>
                <w:tab w:val="left" w:pos="850"/>
              </w:tabs>
              <w:jc w:val="center"/>
              <w:rPr>
                <w:rFonts w:hAnsi="宋体"/>
                <w:color w:val="auto"/>
                <w:szCs w:val="18"/>
                <w:highlight w:val="none"/>
              </w:rPr>
            </w:pPr>
            <w:r>
              <w:rPr>
                <w:rFonts w:hint="eastAsia"/>
                <w:color w:val="auto"/>
                <w:sz w:val="18"/>
                <w:szCs w:val="18"/>
                <w:highlight w:val="none"/>
              </w:rPr>
              <w:t>冷凝机组及风扇功率</w:t>
            </w:r>
            <w:r>
              <w:rPr>
                <w:i/>
                <w:iCs/>
                <w:color w:val="auto"/>
                <w:sz w:val="18"/>
                <w:szCs w:val="18"/>
                <w:highlight w:val="none"/>
              </w:rPr>
              <w:t>P</w:t>
            </w:r>
            <w:r>
              <w:rPr>
                <w:rFonts w:hint="eastAsia"/>
                <w:color w:val="auto"/>
                <w:sz w:val="18"/>
                <w:szCs w:val="18"/>
                <w:highlight w:val="none"/>
              </w:rPr>
              <w:t>（</w:t>
            </w:r>
            <w:r>
              <w:rPr>
                <w:color w:val="auto"/>
                <w:sz w:val="18"/>
                <w:szCs w:val="18"/>
                <w:highlight w:val="none"/>
              </w:rPr>
              <w:t>kW</w:t>
            </w:r>
            <w:r>
              <w:rPr>
                <w:rFonts w:hint="eastAsia"/>
                <w:color w:val="auto"/>
                <w:sz w:val="18"/>
                <w:szCs w:val="18"/>
                <w:highlight w:val="none"/>
              </w:rPr>
              <w:t>）</w:t>
            </w:r>
          </w:p>
        </w:tc>
        <w:tc>
          <w:tcPr>
            <w:tcW w:w="6739" w:type="dxa"/>
            <w:gridSpan w:val="2"/>
            <w:vAlign w:val="center"/>
          </w:tcPr>
          <w:p>
            <w:pPr>
              <w:numPr>
                <w:ilvl w:val="0"/>
                <w:numId w:val="0"/>
              </w:numPr>
              <w:tabs>
                <w:tab w:val="left" w:pos="850"/>
              </w:tabs>
              <w:ind w:left="664"/>
              <w:jc w:val="center"/>
              <w:rPr>
                <w:rFonts w:hAnsi="宋体"/>
                <w:color w:val="auto"/>
                <w:szCs w:val="18"/>
                <w:highlight w:val="none"/>
              </w:rPr>
            </w:pPr>
            <w:r>
              <w:rPr>
                <w:rFonts w:hint="eastAsia" w:hAnsi="宋体"/>
                <w:color w:val="auto"/>
                <w:sz w:val="18"/>
                <w:szCs w:val="18"/>
                <w:highlight w:val="none"/>
              </w:rPr>
              <w:t>噪声声压级，</w:t>
            </w:r>
            <w:r>
              <w:rPr>
                <w:rFonts w:hAnsi="宋体"/>
                <w:color w:val="auto"/>
                <w:sz w:val="18"/>
                <w:szCs w:val="18"/>
                <w:highlight w:val="none"/>
              </w:rPr>
              <w:t>dB</w:t>
            </w:r>
            <w:r>
              <w:rPr>
                <w:rFonts w:hint="eastAsia" w:hAnsi="宋体"/>
                <w:color w:val="auto"/>
                <w:sz w:val="18"/>
                <w:szCs w:val="18"/>
                <w:highlight w:val="none"/>
              </w:rPr>
              <w:t>（</w:t>
            </w:r>
            <w:r>
              <w:rPr>
                <w:rFonts w:hAnsi="宋体"/>
                <w:color w:val="auto"/>
                <w:sz w:val="18"/>
                <w:szCs w:val="18"/>
                <w:highlight w:val="none"/>
              </w:rPr>
              <w:t>A</w:t>
            </w:r>
            <w:r>
              <w:rPr>
                <w:rFonts w:hint="eastAsia" w:hAnsi="宋体"/>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714" w:type="dxa"/>
            <w:vMerge w:val="continue"/>
            <w:vAlign w:val="center"/>
          </w:tcPr>
          <w:p>
            <w:pPr>
              <w:numPr>
                <w:ilvl w:val="0"/>
                <w:numId w:val="23"/>
              </w:numPr>
              <w:tabs>
                <w:tab w:val="left" w:pos="850"/>
              </w:tabs>
              <w:jc w:val="center"/>
              <w:rPr>
                <w:rFonts w:hAnsi="宋体"/>
                <w:color w:val="auto"/>
                <w:szCs w:val="18"/>
                <w:highlight w:val="none"/>
              </w:rPr>
            </w:pPr>
          </w:p>
        </w:tc>
        <w:tc>
          <w:tcPr>
            <w:tcW w:w="3248" w:type="dxa"/>
            <w:vAlign w:val="center"/>
          </w:tcPr>
          <w:p>
            <w:pPr>
              <w:pStyle w:val="261"/>
              <w:numPr>
                <w:ilvl w:val="0"/>
                <w:numId w:val="0"/>
              </w:numPr>
              <w:tabs>
                <w:tab w:val="left" w:pos="850"/>
              </w:tabs>
              <w:spacing w:beforeLines="0" w:afterLines="0" w:line="240" w:lineRule="auto"/>
              <w:jc w:val="center"/>
              <w:rPr>
                <w:rFonts w:eastAsia="宋体"/>
                <w:color w:val="auto"/>
                <w:sz w:val="18"/>
                <w:szCs w:val="18"/>
                <w:highlight w:val="none"/>
              </w:rPr>
            </w:pPr>
            <w:r>
              <w:rPr>
                <w:rFonts w:hint="eastAsia" w:eastAsia="宋体"/>
                <w:color w:val="auto"/>
                <w:sz w:val="18"/>
                <w:szCs w:val="18"/>
                <w:highlight w:val="none"/>
              </w:rPr>
              <w:t>不带冷却风扇的冷凝机组</w:t>
            </w:r>
          </w:p>
        </w:tc>
        <w:tc>
          <w:tcPr>
            <w:tcW w:w="3491" w:type="dxa"/>
            <w:vAlign w:val="center"/>
          </w:tcPr>
          <w:p>
            <w:pPr>
              <w:pStyle w:val="261"/>
              <w:numPr>
                <w:ilvl w:val="0"/>
                <w:numId w:val="0"/>
              </w:numPr>
              <w:tabs>
                <w:tab w:val="left" w:pos="850"/>
              </w:tabs>
              <w:spacing w:beforeLines="0" w:afterLines="0" w:line="240" w:lineRule="auto"/>
              <w:jc w:val="center"/>
              <w:rPr>
                <w:rFonts w:eastAsia="宋体"/>
                <w:color w:val="auto"/>
                <w:sz w:val="18"/>
                <w:szCs w:val="18"/>
                <w:highlight w:val="none"/>
              </w:rPr>
            </w:pPr>
            <w:r>
              <w:rPr>
                <w:rFonts w:hint="eastAsia" w:eastAsia="宋体"/>
                <w:color w:val="auto"/>
                <w:sz w:val="18"/>
                <w:szCs w:val="18"/>
                <w:highlight w:val="none"/>
              </w:rPr>
              <w:t>带冷却风扇的冷凝机组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4" w:type="dxa"/>
            <w:vAlign w:val="center"/>
          </w:tcPr>
          <w:p>
            <w:pPr>
              <w:pStyle w:val="261"/>
              <w:numPr>
                <w:ilvl w:val="0"/>
                <w:numId w:val="0"/>
              </w:numPr>
              <w:tabs>
                <w:tab w:val="left" w:pos="850"/>
              </w:tabs>
              <w:spacing w:beforeLines="0" w:afterLines="0" w:line="240" w:lineRule="auto"/>
              <w:jc w:val="center"/>
              <w:rPr>
                <w:rFonts w:eastAsia="宋体"/>
                <w:color w:val="auto"/>
                <w:sz w:val="18"/>
                <w:szCs w:val="18"/>
                <w:highlight w:val="none"/>
              </w:rPr>
            </w:pPr>
            <w:r>
              <w:rPr>
                <w:rFonts w:eastAsia="宋体"/>
                <w:i/>
                <w:iCs/>
                <w:color w:val="auto"/>
                <w:sz w:val="18"/>
                <w:szCs w:val="18"/>
                <w:highlight w:val="none"/>
              </w:rPr>
              <w:t>P</w:t>
            </w:r>
            <w:r>
              <w:rPr>
                <w:rFonts w:hint="eastAsia" w:eastAsia="宋体"/>
                <w:color w:val="auto"/>
                <w:sz w:val="18"/>
                <w:szCs w:val="18"/>
                <w:highlight w:val="none"/>
              </w:rPr>
              <w:t>≤</w:t>
            </w:r>
            <w:r>
              <w:rPr>
                <w:rFonts w:eastAsia="宋体"/>
                <w:color w:val="auto"/>
                <w:sz w:val="18"/>
                <w:szCs w:val="18"/>
                <w:highlight w:val="none"/>
              </w:rPr>
              <w:t>0.75</w:t>
            </w:r>
          </w:p>
        </w:tc>
        <w:tc>
          <w:tcPr>
            <w:tcW w:w="3248" w:type="dxa"/>
            <w:vAlign w:val="center"/>
          </w:tcPr>
          <w:p>
            <w:pPr>
              <w:pStyle w:val="261"/>
              <w:numPr>
                <w:ilvl w:val="0"/>
                <w:numId w:val="0"/>
              </w:numPr>
              <w:tabs>
                <w:tab w:val="left" w:pos="850"/>
              </w:tabs>
              <w:spacing w:beforeLines="0" w:afterLines="0" w:line="240" w:lineRule="auto"/>
              <w:jc w:val="center"/>
              <w:rPr>
                <w:rFonts w:eastAsia="宋体"/>
                <w:color w:val="auto"/>
                <w:sz w:val="18"/>
                <w:szCs w:val="18"/>
                <w:highlight w:val="none"/>
              </w:rPr>
            </w:pPr>
            <w:r>
              <w:rPr>
                <w:rFonts w:eastAsia="宋体"/>
                <w:color w:val="auto"/>
                <w:sz w:val="18"/>
                <w:szCs w:val="18"/>
                <w:highlight w:val="none"/>
              </w:rPr>
              <w:t>57</w:t>
            </w:r>
          </w:p>
        </w:tc>
        <w:tc>
          <w:tcPr>
            <w:tcW w:w="3491" w:type="dxa"/>
            <w:vAlign w:val="center"/>
          </w:tcPr>
          <w:p>
            <w:pPr>
              <w:pStyle w:val="261"/>
              <w:numPr>
                <w:ilvl w:val="1"/>
                <w:numId w:val="0"/>
              </w:numPr>
              <w:tabs>
                <w:tab w:val="left" w:pos="850"/>
              </w:tabs>
              <w:spacing w:beforeLines="0" w:afterLines="0" w:line="240" w:lineRule="auto"/>
              <w:jc w:val="center"/>
              <w:rPr>
                <w:rFonts w:eastAsia="宋体"/>
                <w:color w:val="auto"/>
                <w:sz w:val="18"/>
                <w:szCs w:val="18"/>
                <w:highlight w:val="none"/>
              </w:rPr>
            </w:pPr>
            <w:r>
              <w:rPr>
                <w:rFonts w:eastAsia="宋体"/>
                <w:color w:val="auto"/>
                <w:sz w:val="18"/>
                <w:szCs w:val="18"/>
                <w:highlight w:val="none"/>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714" w:type="dxa"/>
            <w:vAlign w:val="center"/>
          </w:tcPr>
          <w:p>
            <w:pPr>
              <w:pStyle w:val="261"/>
              <w:numPr>
                <w:ilvl w:val="1"/>
                <w:numId w:val="0"/>
              </w:numPr>
              <w:tabs>
                <w:tab w:val="left" w:pos="850"/>
              </w:tabs>
              <w:spacing w:beforeLines="0" w:afterLines="0" w:line="240" w:lineRule="auto"/>
              <w:jc w:val="center"/>
              <w:rPr>
                <w:rFonts w:eastAsia="宋体"/>
                <w:color w:val="auto"/>
                <w:sz w:val="18"/>
                <w:szCs w:val="18"/>
                <w:highlight w:val="none"/>
              </w:rPr>
            </w:pPr>
            <w:r>
              <w:rPr>
                <w:rFonts w:eastAsia="宋体"/>
                <w:color w:val="auto"/>
                <w:sz w:val="18"/>
                <w:szCs w:val="18"/>
                <w:highlight w:val="none"/>
              </w:rPr>
              <w:t>0.75</w:t>
            </w:r>
            <w:r>
              <w:rPr>
                <w:rFonts w:hint="eastAsia" w:eastAsia="宋体"/>
                <w:color w:val="auto"/>
                <w:sz w:val="18"/>
                <w:szCs w:val="18"/>
                <w:highlight w:val="none"/>
              </w:rPr>
              <w:t>＜</w:t>
            </w:r>
            <w:r>
              <w:rPr>
                <w:rFonts w:eastAsia="宋体"/>
                <w:i/>
                <w:iCs/>
                <w:color w:val="auto"/>
                <w:sz w:val="18"/>
                <w:szCs w:val="18"/>
                <w:highlight w:val="none"/>
              </w:rPr>
              <w:t>P</w:t>
            </w:r>
            <w:r>
              <w:rPr>
                <w:rFonts w:hint="eastAsia" w:eastAsia="宋体"/>
                <w:color w:val="auto"/>
                <w:sz w:val="18"/>
                <w:szCs w:val="18"/>
                <w:highlight w:val="none"/>
              </w:rPr>
              <w:t>≤</w:t>
            </w:r>
            <w:r>
              <w:rPr>
                <w:rFonts w:eastAsia="宋体"/>
                <w:color w:val="auto"/>
                <w:sz w:val="18"/>
                <w:szCs w:val="18"/>
                <w:highlight w:val="none"/>
              </w:rPr>
              <w:t>1.5</w:t>
            </w:r>
          </w:p>
        </w:tc>
        <w:tc>
          <w:tcPr>
            <w:tcW w:w="3248" w:type="dxa"/>
            <w:vAlign w:val="center"/>
          </w:tcPr>
          <w:p>
            <w:pPr>
              <w:pStyle w:val="261"/>
              <w:numPr>
                <w:ilvl w:val="0"/>
                <w:numId w:val="0"/>
              </w:numPr>
              <w:tabs>
                <w:tab w:val="left" w:pos="850"/>
              </w:tabs>
              <w:spacing w:beforeLines="0" w:afterLines="0" w:line="240" w:lineRule="auto"/>
              <w:jc w:val="center"/>
              <w:rPr>
                <w:rFonts w:eastAsia="宋体"/>
                <w:color w:val="auto"/>
                <w:sz w:val="18"/>
                <w:szCs w:val="18"/>
                <w:highlight w:val="none"/>
              </w:rPr>
            </w:pPr>
            <w:r>
              <w:rPr>
                <w:rFonts w:hint="eastAsia" w:eastAsia="宋体"/>
                <w:color w:val="auto"/>
                <w:sz w:val="18"/>
                <w:szCs w:val="18"/>
                <w:highlight w:val="none"/>
              </w:rPr>
              <w:t>≤</w:t>
            </w:r>
            <w:r>
              <w:rPr>
                <w:rFonts w:eastAsia="宋体"/>
                <w:color w:val="auto"/>
                <w:sz w:val="18"/>
                <w:szCs w:val="18"/>
                <w:highlight w:val="none"/>
              </w:rPr>
              <w:t>58</w:t>
            </w:r>
          </w:p>
        </w:tc>
        <w:tc>
          <w:tcPr>
            <w:tcW w:w="3491" w:type="dxa"/>
            <w:vAlign w:val="center"/>
          </w:tcPr>
          <w:p>
            <w:pPr>
              <w:pStyle w:val="261"/>
              <w:numPr>
                <w:ilvl w:val="1"/>
                <w:numId w:val="0"/>
              </w:numPr>
              <w:tabs>
                <w:tab w:val="left" w:pos="850"/>
              </w:tabs>
              <w:spacing w:beforeLines="0" w:afterLines="0" w:line="240" w:lineRule="auto"/>
              <w:jc w:val="center"/>
              <w:rPr>
                <w:rFonts w:eastAsia="宋体"/>
                <w:color w:val="auto"/>
                <w:sz w:val="18"/>
                <w:szCs w:val="18"/>
                <w:highlight w:val="none"/>
              </w:rPr>
            </w:pPr>
            <w:r>
              <w:rPr>
                <w:rFonts w:hint="eastAsia" w:eastAsia="宋体"/>
                <w:color w:val="auto"/>
                <w:sz w:val="18"/>
                <w:szCs w:val="18"/>
                <w:highlight w:val="none"/>
              </w:rPr>
              <w:t>≤</w:t>
            </w:r>
            <w:r>
              <w:rPr>
                <w:rFonts w:eastAsia="宋体"/>
                <w:color w:val="auto"/>
                <w:sz w:val="18"/>
                <w:szCs w:val="18"/>
                <w:highlight w:val="none"/>
              </w:rPr>
              <w:t>60</w:t>
            </w:r>
          </w:p>
        </w:tc>
      </w:tr>
    </w:tbl>
    <w:p>
      <w:pPr>
        <w:pStyle w:val="121"/>
        <w:spacing w:before="156" w:after="156"/>
        <w:rPr>
          <w:color w:val="auto"/>
          <w:szCs w:val="21"/>
          <w:highlight w:val="none"/>
        </w:rPr>
      </w:pPr>
      <w:r>
        <w:rPr>
          <w:rFonts w:hint="eastAsia"/>
          <w:color w:val="auto"/>
          <w:spacing w:val="-2"/>
          <w:w w:val="105"/>
          <w:szCs w:val="21"/>
          <w:highlight w:val="none"/>
        </w:rPr>
        <w:t>振动</w:t>
      </w:r>
    </w:p>
    <w:p>
      <w:pPr>
        <w:pStyle w:val="23"/>
        <w:ind w:firstLine="420"/>
        <w:rPr>
          <w:color w:val="auto"/>
          <w:highlight w:val="none"/>
        </w:rPr>
      </w:pPr>
      <w:r>
        <w:rPr>
          <w:rFonts w:hint="eastAsia"/>
          <w:color w:val="auto"/>
          <w:highlight w:val="none"/>
        </w:rPr>
        <w:t>应运行平稳。按6</w:t>
      </w:r>
      <w:r>
        <w:rPr>
          <w:color w:val="auto"/>
          <w:highlight w:val="none"/>
        </w:rPr>
        <w:t>.</w:t>
      </w:r>
      <w:r>
        <w:rPr>
          <w:rFonts w:hint="eastAsia"/>
          <w:color w:val="auto"/>
          <w:highlight w:val="none"/>
        </w:rPr>
        <w:t>6</w:t>
      </w:r>
      <w:r>
        <w:rPr>
          <w:color w:val="auto"/>
          <w:highlight w:val="none"/>
        </w:rPr>
        <w:t>.2</w:t>
      </w:r>
      <w:r>
        <w:rPr>
          <w:rFonts w:hint="eastAsia"/>
          <w:color w:val="auto"/>
          <w:highlight w:val="none"/>
        </w:rPr>
        <w:t>进行试验时</w:t>
      </w:r>
      <w:r>
        <w:rPr>
          <w:color w:val="auto"/>
          <w:highlight w:val="none"/>
        </w:rPr>
        <w:t>,</w:t>
      </w:r>
      <w:r>
        <w:rPr>
          <w:rFonts w:hint="eastAsia"/>
          <w:color w:val="auto"/>
          <w:highlight w:val="none"/>
        </w:rPr>
        <w:t>其振动速度的有效值不大于</w:t>
      </w:r>
      <w:r>
        <w:rPr>
          <w:color w:val="auto"/>
          <w:highlight w:val="none"/>
        </w:rPr>
        <w:t>1.8 mm/s</w:t>
      </w:r>
      <w:r>
        <w:rPr>
          <w:rFonts w:hint="eastAsia"/>
          <w:color w:val="auto"/>
          <w:highlight w:val="none"/>
        </w:rPr>
        <w:t>。</w:t>
      </w:r>
    </w:p>
    <w:p>
      <w:pPr>
        <w:pStyle w:val="119"/>
        <w:spacing w:before="156" w:after="156"/>
        <w:rPr>
          <w:color w:val="auto"/>
          <w:w w:val="105"/>
          <w:szCs w:val="21"/>
          <w:highlight w:val="none"/>
        </w:rPr>
      </w:pPr>
      <w:r>
        <w:rPr>
          <w:rFonts w:hint="eastAsia"/>
          <w:color w:val="auto"/>
          <w:w w:val="105"/>
          <w:szCs w:val="21"/>
          <w:highlight w:val="none"/>
        </w:rPr>
        <w:t>密封性</w:t>
      </w:r>
    </w:p>
    <w:p>
      <w:pPr>
        <w:pStyle w:val="121"/>
        <w:spacing w:before="156" w:after="156"/>
        <w:rPr>
          <w:color w:val="auto"/>
          <w:w w:val="105"/>
          <w:szCs w:val="21"/>
          <w:highlight w:val="none"/>
        </w:rPr>
      </w:pPr>
      <w:r>
        <w:rPr>
          <w:rFonts w:hint="eastAsia"/>
          <w:color w:val="auto"/>
          <w:w w:val="105"/>
          <w:szCs w:val="21"/>
          <w:highlight w:val="none"/>
        </w:rPr>
        <w:t>门和盖的密封性能</w:t>
      </w:r>
    </w:p>
    <w:p>
      <w:pPr>
        <w:ind w:firstLine="420" w:firstLineChars="200"/>
        <w:rPr>
          <w:color w:val="auto"/>
          <w:highlight w:val="none"/>
        </w:rPr>
      </w:pPr>
      <w:r>
        <w:rPr>
          <w:rFonts w:hint="eastAsia"/>
          <w:color w:val="auto"/>
          <w:highlight w:val="none"/>
        </w:rPr>
        <w:t>门封或盖封应有良好的气密性。当箱门（或盖）关闭后，门封（或盖封）四周应严密，按6</w:t>
      </w:r>
      <w:r>
        <w:rPr>
          <w:color w:val="auto"/>
          <w:highlight w:val="none"/>
        </w:rPr>
        <w:t>.</w:t>
      </w:r>
      <w:r>
        <w:rPr>
          <w:rFonts w:hint="eastAsia"/>
          <w:color w:val="auto"/>
          <w:highlight w:val="none"/>
        </w:rPr>
        <w:t>7</w:t>
      </w:r>
      <w:r>
        <w:rPr>
          <w:color w:val="auto"/>
          <w:highlight w:val="none"/>
        </w:rPr>
        <w:t>.1</w:t>
      </w:r>
      <w:r>
        <w:rPr>
          <w:rFonts w:hint="eastAsia"/>
          <w:color w:val="auto"/>
          <w:highlight w:val="none"/>
        </w:rPr>
        <w:t>的方法进行气密性试验时，试验纸片不应自由滑动。</w:t>
      </w:r>
    </w:p>
    <w:p>
      <w:pPr>
        <w:pStyle w:val="121"/>
        <w:spacing w:before="156" w:after="156"/>
        <w:rPr>
          <w:color w:val="auto"/>
          <w:szCs w:val="21"/>
          <w:highlight w:val="none"/>
        </w:rPr>
      </w:pPr>
      <w:r>
        <w:rPr>
          <w:rFonts w:hint="eastAsia"/>
          <w:color w:val="auto"/>
          <w:szCs w:val="21"/>
          <w:highlight w:val="none"/>
        </w:rPr>
        <w:t>制冷系统密封性能</w:t>
      </w:r>
    </w:p>
    <w:p>
      <w:pPr>
        <w:ind w:firstLine="420" w:firstLineChars="200"/>
        <w:rPr>
          <w:color w:val="auto"/>
          <w:highlight w:val="none"/>
        </w:rPr>
      </w:pPr>
      <w:r>
        <w:rPr>
          <w:rFonts w:hint="eastAsia"/>
          <w:color w:val="auto"/>
          <w:highlight w:val="none"/>
        </w:rPr>
        <w:t>制冷系统按6</w:t>
      </w:r>
      <w:r>
        <w:rPr>
          <w:color w:val="auto"/>
          <w:highlight w:val="none"/>
        </w:rPr>
        <w:t>.</w:t>
      </w:r>
      <w:r>
        <w:rPr>
          <w:rFonts w:hint="eastAsia"/>
          <w:color w:val="auto"/>
          <w:highlight w:val="none"/>
        </w:rPr>
        <w:t>7</w:t>
      </w:r>
      <w:r>
        <w:rPr>
          <w:color w:val="auto"/>
          <w:highlight w:val="none"/>
        </w:rPr>
        <w:t>.2</w:t>
      </w:r>
      <w:r>
        <w:rPr>
          <w:rFonts w:hint="eastAsia"/>
          <w:color w:val="auto"/>
          <w:highlight w:val="none"/>
        </w:rPr>
        <w:t>的方法进行密封性试验后，任何部位制冷剂年泄漏量均应不大于</w:t>
      </w:r>
      <w:r>
        <w:rPr>
          <w:color w:val="auto"/>
          <w:highlight w:val="none"/>
        </w:rPr>
        <w:t>0.5g</w:t>
      </w:r>
      <w:r>
        <w:rPr>
          <w:rFonts w:hint="eastAsia"/>
          <w:color w:val="auto"/>
          <w:highlight w:val="none"/>
        </w:rPr>
        <w:t>。</w:t>
      </w:r>
    </w:p>
    <w:p>
      <w:pPr>
        <w:pStyle w:val="119"/>
        <w:spacing w:before="156" w:after="156"/>
        <w:rPr>
          <w:rFonts w:hAnsi="黑体"/>
          <w:color w:val="auto"/>
          <w:szCs w:val="21"/>
          <w:highlight w:val="none"/>
        </w:rPr>
      </w:pPr>
      <w:r>
        <w:rPr>
          <w:rFonts w:hint="eastAsia" w:hAnsi="黑体"/>
          <w:color w:val="auto"/>
          <w:szCs w:val="21"/>
          <w:highlight w:val="none"/>
        </w:rPr>
        <w:t>卫生安全</w:t>
      </w:r>
    </w:p>
    <w:p>
      <w:pPr>
        <w:pStyle w:val="121"/>
        <w:spacing w:before="156" w:after="156"/>
        <w:rPr>
          <w:color w:val="auto"/>
          <w:highlight w:val="none"/>
        </w:rPr>
      </w:pPr>
      <w:r>
        <w:rPr>
          <w:rFonts w:hint="eastAsia"/>
          <w:color w:val="auto"/>
          <w:highlight w:val="none"/>
        </w:rPr>
        <w:t>电气安全</w:t>
      </w:r>
    </w:p>
    <w:p>
      <w:pPr>
        <w:ind w:firstLine="420" w:firstLineChars="200"/>
        <w:rPr>
          <w:color w:val="auto"/>
          <w:highlight w:val="none"/>
        </w:rPr>
      </w:pPr>
      <w:r>
        <w:rPr>
          <w:rFonts w:hint="eastAsia"/>
          <w:color w:val="auto"/>
          <w:highlight w:val="none"/>
        </w:rPr>
        <w:t>按6</w:t>
      </w:r>
      <w:r>
        <w:rPr>
          <w:color w:val="auto"/>
          <w:highlight w:val="none"/>
        </w:rPr>
        <w:t>.</w:t>
      </w:r>
      <w:r>
        <w:rPr>
          <w:rFonts w:hint="eastAsia"/>
          <w:color w:val="auto"/>
          <w:highlight w:val="none"/>
        </w:rPr>
        <w:t>8</w:t>
      </w:r>
      <w:r>
        <w:rPr>
          <w:color w:val="auto"/>
          <w:highlight w:val="none"/>
        </w:rPr>
        <w:t>.1</w:t>
      </w:r>
      <w:r>
        <w:rPr>
          <w:rFonts w:hint="eastAsia"/>
          <w:color w:val="auto"/>
          <w:highlight w:val="none"/>
        </w:rPr>
        <w:t>的方法进行试验，应符合</w:t>
      </w:r>
      <w:r>
        <w:rPr>
          <w:color w:val="auto"/>
          <w:highlight w:val="none"/>
        </w:rPr>
        <w:t>GB 4706.1</w:t>
      </w:r>
      <w:r>
        <w:rPr>
          <w:rFonts w:hint="eastAsia"/>
          <w:color w:val="auto"/>
          <w:highlight w:val="none"/>
        </w:rPr>
        <w:t>、</w:t>
      </w:r>
      <w:r>
        <w:rPr>
          <w:color w:val="auto"/>
          <w:highlight w:val="none"/>
        </w:rPr>
        <w:t>GB 4706.102</w:t>
      </w:r>
      <w:r>
        <w:rPr>
          <w:rFonts w:hint="eastAsia"/>
          <w:color w:val="auto"/>
          <w:highlight w:val="none"/>
        </w:rPr>
        <w:t>的要求。</w:t>
      </w:r>
    </w:p>
    <w:p>
      <w:pPr>
        <w:pStyle w:val="121"/>
        <w:spacing w:before="156" w:after="156"/>
        <w:rPr>
          <w:color w:val="auto"/>
          <w:szCs w:val="21"/>
          <w:highlight w:val="none"/>
        </w:rPr>
      </w:pPr>
      <w:r>
        <w:rPr>
          <w:rFonts w:hint="eastAsia"/>
          <w:color w:val="auto"/>
          <w:szCs w:val="21"/>
          <w:highlight w:val="none"/>
        </w:rPr>
        <w:t>电磁兼容</w:t>
      </w:r>
    </w:p>
    <w:p>
      <w:pPr>
        <w:ind w:firstLine="420" w:firstLineChars="200"/>
        <w:rPr>
          <w:color w:val="auto"/>
          <w:highlight w:val="none"/>
        </w:rPr>
      </w:pPr>
      <w:r>
        <w:rPr>
          <w:rFonts w:hint="eastAsia"/>
          <w:color w:val="auto"/>
          <w:highlight w:val="none"/>
        </w:rPr>
        <w:t>按6</w:t>
      </w:r>
      <w:r>
        <w:rPr>
          <w:color w:val="auto"/>
          <w:highlight w:val="none"/>
        </w:rPr>
        <w:t>.</w:t>
      </w:r>
      <w:r>
        <w:rPr>
          <w:rFonts w:hint="eastAsia"/>
          <w:color w:val="auto"/>
          <w:highlight w:val="none"/>
        </w:rPr>
        <w:t>8</w:t>
      </w:r>
      <w:r>
        <w:rPr>
          <w:color w:val="auto"/>
          <w:highlight w:val="none"/>
        </w:rPr>
        <w:t>.2</w:t>
      </w:r>
      <w:r>
        <w:rPr>
          <w:rFonts w:hint="eastAsia"/>
          <w:color w:val="auto"/>
          <w:highlight w:val="none"/>
        </w:rPr>
        <w:t>的方法进行试验，应符合</w:t>
      </w:r>
      <w:r>
        <w:rPr>
          <w:color w:val="auto"/>
          <w:highlight w:val="none"/>
        </w:rPr>
        <w:t>GB 17625.1</w:t>
      </w:r>
      <w:r>
        <w:rPr>
          <w:rFonts w:hint="eastAsia"/>
          <w:color w:val="auto"/>
          <w:highlight w:val="none"/>
        </w:rPr>
        <w:t>和</w:t>
      </w:r>
      <w:r>
        <w:rPr>
          <w:color w:val="auto"/>
          <w:highlight w:val="none"/>
        </w:rPr>
        <w:t>GB 4343.1</w:t>
      </w:r>
      <w:r>
        <w:rPr>
          <w:rFonts w:hint="eastAsia"/>
          <w:color w:val="auto"/>
          <w:highlight w:val="none"/>
        </w:rPr>
        <w:t>、</w:t>
      </w:r>
      <w:r>
        <w:rPr>
          <w:color w:val="auto"/>
          <w:highlight w:val="none"/>
        </w:rPr>
        <w:t>GB/T 4343.2</w:t>
      </w:r>
      <w:r>
        <w:rPr>
          <w:rFonts w:hint="eastAsia"/>
          <w:color w:val="auto"/>
          <w:highlight w:val="none"/>
        </w:rPr>
        <w:t>的要求。</w:t>
      </w:r>
    </w:p>
    <w:p>
      <w:pPr>
        <w:pStyle w:val="121"/>
        <w:spacing w:before="156" w:after="156"/>
        <w:rPr>
          <w:color w:val="auto"/>
          <w:szCs w:val="21"/>
          <w:highlight w:val="none"/>
        </w:rPr>
      </w:pPr>
      <w:r>
        <w:rPr>
          <w:rFonts w:hint="eastAsia"/>
          <w:color w:val="auto"/>
          <w:szCs w:val="21"/>
          <w:highlight w:val="none"/>
        </w:rPr>
        <w:t>与食品接触材料安全</w:t>
      </w:r>
    </w:p>
    <w:p>
      <w:pPr>
        <w:ind w:firstLine="420" w:firstLineChars="200"/>
        <w:rPr>
          <w:color w:val="auto"/>
          <w:highlight w:val="none"/>
        </w:rPr>
      </w:pPr>
      <w:r>
        <w:rPr>
          <w:rFonts w:hint="eastAsia"/>
          <w:color w:val="auto"/>
          <w:highlight w:val="none"/>
        </w:rPr>
        <w:t>按6.8.3的方法进行试验，应符合GB 4806.1和表5的要求。</w:t>
      </w:r>
    </w:p>
    <w:p>
      <w:pPr>
        <w:pStyle w:val="208"/>
        <w:tabs>
          <w:tab w:val="left" w:pos="0"/>
        </w:tabs>
        <w:spacing w:before="156" w:after="156"/>
        <w:rPr>
          <w:color w:val="auto"/>
          <w:highlight w:val="none"/>
        </w:rPr>
      </w:pPr>
      <w:r>
        <w:rPr>
          <w:rFonts w:hint="eastAsia"/>
          <w:color w:val="auto"/>
          <w:highlight w:val="none"/>
        </w:rPr>
        <w:t>与食品接触材料安全要求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3772"/>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Borders>
              <w:top w:val="single" w:color="auto" w:sz="12" w:space="0"/>
              <w:left w:val="single" w:color="auto" w:sz="12" w:space="0"/>
              <w:bottom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序号</w:t>
            </w:r>
          </w:p>
        </w:tc>
        <w:tc>
          <w:tcPr>
            <w:tcW w:w="3772" w:type="dxa"/>
            <w:tcBorders>
              <w:top w:val="single" w:color="auto" w:sz="12" w:space="0"/>
              <w:bottom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部件</w:t>
            </w:r>
            <w:r>
              <w:rPr>
                <w:rFonts w:hAnsi="宋体" w:cs="宋体"/>
                <w:color w:val="auto"/>
                <w:sz w:val="18"/>
                <w:szCs w:val="18"/>
                <w:highlight w:val="none"/>
              </w:rPr>
              <w:t>/</w:t>
            </w:r>
            <w:r>
              <w:rPr>
                <w:rFonts w:hint="eastAsia" w:hAnsi="宋体" w:cs="宋体"/>
                <w:color w:val="auto"/>
                <w:sz w:val="18"/>
                <w:szCs w:val="18"/>
                <w:highlight w:val="none"/>
              </w:rPr>
              <w:t>部位</w:t>
            </w:r>
          </w:p>
        </w:tc>
        <w:tc>
          <w:tcPr>
            <w:tcW w:w="424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要求及其试验方法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469" w:type="dxa"/>
            <w:tcBorders>
              <w:lef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Cs w:val="18"/>
                <w:highlight w:val="none"/>
              </w:rPr>
              <w:t>1</w:t>
            </w:r>
          </w:p>
        </w:tc>
        <w:tc>
          <w:tcPr>
            <w:tcW w:w="3772" w:type="dxa"/>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塑料材料及制品</w:t>
            </w:r>
          </w:p>
        </w:tc>
        <w:tc>
          <w:tcPr>
            <w:tcW w:w="4240" w:type="dxa"/>
            <w:tcBorders>
              <w:righ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color w:val="auto"/>
                <w:sz w:val="18"/>
                <w:szCs w:val="18"/>
                <w:highlight w:val="none"/>
              </w:rPr>
              <w:t>GB 4806.7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69" w:type="dxa"/>
            <w:tcBorders>
              <w:lef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2</w:t>
            </w:r>
          </w:p>
        </w:tc>
        <w:tc>
          <w:tcPr>
            <w:tcW w:w="3772" w:type="dxa"/>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玻璃制品</w:t>
            </w:r>
          </w:p>
        </w:tc>
        <w:tc>
          <w:tcPr>
            <w:tcW w:w="4240" w:type="dxa"/>
            <w:tcBorders>
              <w:righ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color w:val="auto"/>
                <w:sz w:val="18"/>
                <w:szCs w:val="18"/>
                <w:highlight w:val="none"/>
              </w:rPr>
              <w:t>GB 4806.5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69" w:type="dxa"/>
            <w:tcBorders>
              <w:lef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3</w:t>
            </w:r>
          </w:p>
        </w:tc>
        <w:tc>
          <w:tcPr>
            <w:tcW w:w="3772" w:type="dxa"/>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金属材料及制品</w:t>
            </w:r>
          </w:p>
        </w:tc>
        <w:tc>
          <w:tcPr>
            <w:tcW w:w="4240" w:type="dxa"/>
            <w:tcBorders>
              <w:righ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color w:val="auto"/>
                <w:sz w:val="18"/>
                <w:szCs w:val="18"/>
                <w:highlight w:val="none"/>
              </w:rPr>
              <w:t>GB 4806.9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69" w:type="dxa"/>
            <w:tcBorders>
              <w:left w:val="single" w:color="auto" w:sz="12" w:space="0"/>
              <w:bottom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4</w:t>
            </w:r>
          </w:p>
        </w:tc>
        <w:tc>
          <w:tcPr>
            <w:tcW w:w="3772" w:type="dxa"/>
            <w:tcBorders>
              <w:bottom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hAnsi="宋体" w:cs="宋体"/>
                <w:color w:val="auto"/>
                <w:sz w:val="18"/>
                <w:szCs w:val="18"/>
                <w:highlight w:val="none"/>
              </w:rPr>
              <w:t>涂料及涂层</w:t>
            </w:r>
          </w:p>
        </w:tc>
        <w:tc>
          <w:tcPr>
            <w:tcW w:w="4240" w:type="dxa"/>
            <w:tcBorders>
              <w:bottom w:val="single" w:color="auto" w:sz="12" w:space="0"/>
              <w:right w:val="single" w:color="auto" w:sz="12" w:space="0"/>
            </w:tcBorders>
            <w:vAlign w:val="center"/>
          </w:tcPr>
          <w:p>
            <w:pPr>
              <w:numPr>
                <w:ilvl w:val="0"/>
                <w:numId w:val="0"/>
              </w:numPr>
              <w:tabs>
                <w:tab w:val="left" w:pos="850"/>
              </w:tabs>
              <w:jc w:val="center"/>
              <w:rPr>
                <w:rFonts w:hAnsi="宋体" w:cs="宋体"/>
                <w:color w:val="auto"/>
                <w:szCs w:val="18"/>
                <w:highlight w:val="none"/>
              </w:rPr>
            </w:pPr>
            <w:r>
              <w:rPr>
                <w:rFonts w:hint="eastAsia"/>
                <w:color w:val="auto"/>
                <w:sz w:val="18"/>
                <w:szCs w:val="18"/>
                <w:highlight w:val="none"/>
              </w:rPr>
              <w:t>GB 4806.10</w:t>
            </w:r>
          </w:p>
        </w:tc>
      </w:tr>
    </w:tbl>
    <w:p>
      <w:pPr>
        <w:pStyle w:val="121"/>
        <w:spacing w:before="156" w:after="156"/>
        <w:rPr>
          <w:rFonts w:cs="黑体"/>
          <w:color w:val="auto"/>
          <w:kern w:val="2"/>
          <w:szCs w:val="22"/>
          <w:highlight w:val="none"/>
        </w:rPr>
      </w:pPr>
      <w:r>
        <w:rPr>
          <w:rFonts w:hint="eastAsia" w:cs="黑体"/>
          <w:color w:val="auto"/>
          <w:kern w:val="2"/>
          <w:szCs w:val="22"/>
          <w:highlight w:val="none"/>
        </w:rPr>
        <w:t>抗菌</w:t>
      </w:r>
    </w:p>
    <w:p>
      <w:pPr>
        <w:ind w:firstLine="420" w:firstLineChars="200"/>
        <w:rPr>
          <w:color w:val="auto"/>
          <w:highlight w:val="none"/>
        </w:rPr>
      </w:pPr>
      <w:r>
        <w:rPr>
          <w:rFonts w:hint="eastAsia"/>
          <w:color w:val="auto"/>
          <w:highlight w:val="none"/>
        </w:rPr>
        <w:t>按6.8.4的方法进行试验，具有抗菌功能的陈列柜或其应用抗菌材料生产的主要部件，对金黄色葡萄球菌、大肠杆菌的抗菌率不应小于97%。</w:t>
      </w:r>
    </w:p>
    <w:p>
      <w:pPr>
        <w:pStyle w:val="119"/>
        <w:spacing w:before="156" w:after="156"/>
        <w:rPr>
          <w:rFonts w:hAnsi="黑体"/>
          <w:color w:val="auto"/>
          <w:szCs w:val="21"/>
          <w:highlight w:val="none"/>
        </w:rPr>
      </w:pPr>
      <w:r>
        <w:rPr>
          <w:rFonts w:hint="eastAsia" w:hAnsi="黑体"/>
          <w:color w:val="auto"/>
          <w:szCs w:val="21"/>
          <w:highlight w:val="none"/>
        </w:rPr>
        <w:t>环保性能</w:t>
      </w:r>
    </w:p>
    <w:p>
      <w:pPr>
        <w:pStyle w:val="121"/>
        <w:spacing w:before="156" w:after="156"/>
        <w:rPr>
          <w:color w:val="auto"/>
          <w:szCs w:val="21"/>
          <w:highlight w:val="none"/>
        </w:rPr>
      </w:pPr>
      <w:r>
        <w:rPr>
          <w:rFonts w:hint="eastAsia"/>
          <w:color w:val="auto"/>
          <w:szCs w:val="21"/>
          <w:highlight w:val="none"/>
        </w:rPr>
        <w:t>限用物质</w:t>
      </w:r>
    </w:p>
    <w:p>
      <w:pPr>
        <w:ind w:firstLine="448"/>
        <w:rPr>
          <w:color w:val="auto"/>
          <w:szCs w:val="21"/>
          <w:highlight w:val="none"/>
        </w:rPr>
      </w:pPr>
      <w:r>
        <w:rPr>
          <w:rFonts w:hint="eastAsia"/>
          <w:color w:val="auto"/>
          <w:szCs w:val="21"/>
          <w:highlight w:val="none"/>
        </w:rPr>
        <w:t>按6</w:t>
      </w:r>
      <w:r>
        <w:rPr>
          <w:color w:val="auto"/>
          <w:szCs w:val="21"/>
          <w:highlight w:val="none"/>
        </w:rPr>
        <w:t>.</w:t>
      </w:r>
      <w:r>
        <w:rPr>
          <w:rFonts w:hint="eastAsia"/>
          <w:color w:val="auto"/>
          <w:szCs w:val="21"/>
          <w:highlight w:val="none"/>
        </w:rPr>
        <w:t>9</w:t>
      </w:r>
      <w:r>
        <w:rPr>
          <w:color w:val="auto"/>
          <w:szCs w:val="21"/>
          <w:highlight w:val="none"/>
        </w:rPr>
        <w:t>.1</w:t>
      </w:r>
      <w:r>
        <w:rPr>
          <w:rFonts w:hint="eastAsia"/>
          <w:color w:val="auto"/>
          <w:szCs w:val="21"/>
          <w:highlight w:val="none"/>
        </w:rPr>
        <w:t>的方法</w:t>
      </w:r>
      <w:r>
        <w:rPr>
          <w:rFonts w:hint="eastAsia"/>
          <w:color w:val="auto"/>
          <w:highlight w:val="none"/>
        </w:rPr>
        <w:t>进行</w:t>
      </w:r>
      <w:r>
        <w:rPr>
          <w:rFonts w:hint="eastAsia"/>
          <w:color w:val="auto"/>
          <w:szCs w:val="21"/>
          <w:highlight w:val="none"/>
        </w:rPr>
        <w:t>试验，应符合</w:t>
      </w:r>
      <w:r>
        <w:rPr>
          <w:color w:val="auto"/>
          <w:szCs w:val="21"/>
          <w:highlight w:val="none"/>
        </w:rPr>
        <w:t>GB/T 26572</w:t>
      </w:r>
      <w:r>
        <w:rPr>
          <w:rFonts w:hint="eastAsia"/>
          <w:color w:val="auto"/>
          <w:szCs w:val="21"/>
          <w:highlight w:val="none"/>
        </w:rPr>
        <w:t>的要求。</w:t>
      </w:r>
    </w:p>
    <w:p>
      <w:pPr>
        <w:pStyle w:val="121"/>
        <w:spacing w:before="156" w:after="156"/>
        <w:rPr>
          <w:color w:val="auto"/>
          <w:szCs w:val="21"/>
          <w:highlight w:val="none"/>
        </w:rPr>
      </w:pPr>
      <w:r>
        <w:rPr>
          <w:rFonts w:hint="eastAsia"/>
          <w:color w:val="auto"/>
          <w:szCs w:val="21"/>
          <w:highlight w:val="none"/>
        </w:rPr>
        <w:t>制冷剂类型</w:t>
      </w:r>
    </w:p>
    <w:p>
      <w:pPr>
        <w:ind w:firstLine="420" w:firstLineChars="200"/>
        <w:rPr>
          <w:color w:val="auto"/>
          <w:highlight w:val="none"/>
        </w:rPr>
      </w:pPr>
      <w:r>
        <w:rPr>
          <w:rFonts w:hint="eastAsia"/>
          <w:color w:val="auto"/>
          <w:highlight w:val="none"/>
        </w:rPr>
        <w:t>应采用</w:t>
      </w:r>
      <w:r>
        <w:rPr>
          <w:color w:val="auto"/>
          <w:highlight w:val="none"/>
        </w:rPr>
        <w:t>ODP</w:t>
      </w:r>
      <w:r>
        <w:rPr>
          <w:rFonts w:hint="eastAsia"/>
          <w:color w:val="auto"/>
          <w:highlight w:val="none"/>
        </w:rPr>
        <w:t>值为</w:t>
      </w:r>
      <w:r>
        <w:rPr>
          <w:color w:val="auto"/>
          <w:highlight w:val="none"/>
        </w:rPr>
        <w:t>0</w:t>
      </w:r>
      <w:r>
        <w:rPr>
          <w:rFonts w:hint="eastAsia"/>
          <w:color w:val="auto"/>
          <w:highlight w:val="none"/>
        </w:rPr>
        <w:t>且</w:t>
      </w:r>
      <w:r>
        <w:rPr>
          <w:color w:val="auto"/>
          <w:highlight w:val="none"/>
        </w:rPr>
        <w:t>GWP</w:t>
      </w:r>
      <w:r>
        <w:rPr>
          <w:rFonts w:hint="eastAsia"/>
          <w:color w:val="auto"/>
          <w:highlight w:val="none"/>
        </w:rPr>
        <w:t>值不大于</w:t>
      </w:r>
      <w:r>
        <w:rPr>
          <w:color w:val="auto"/>
          <w:highlight w:val="none"/>
        </w:rPr>
        <w:t>100</w:t>
      </w:r>
      <w:r>
        <w:rPr>
          <w:rFonts w:hint="eastAsia"/>
          <w:color w:val="auto"/>
          <w:highlight w:val="none"/>
        </w:rPr>
        <w:t>的制冷剂，且充注量应符合</w:t>
      </w:r>
      <w:r>
        <w:rPr>
          <w:color w:val="auto"/>
          <w:highlight w:val="none"/>
        </w:rPr>
        <w:t>GB 4706.102</w:t>
      </w:r>
      <w:r>
        <w:rPr>
          <w:rFonts w:hint="eastAsia"/>
          <w:color w:val="auto"/>
          <w:highlight w:val="none"/>
        </w:rPr>
        <w:t>的相关要求。</w:t>
      </w:r>
    </w:p>
    <w:p>
      <w:pPr>
        <w:pStyle w:val="119"/>
        <w:spacing w:before="156" w:after="156"/>
        <w:rPr>
          <w:rFonts w:hAnsi="黑体" w:cs="黑体"/>
          <w:color w:val="auto"/>
          <w:kern w:val="2"/>
          <w:szCs w:val="22"/>
          <w:highlight w:val="none"/>
        </w:rPr>
      </w:pPr>
      <w:r>
        <w:rPr>
          <w:rFonts w:hint="eastAsia" w:hAnsi="黑体" w:cs="黑体"/>
          <w:color w:val="auto"/>
          <w:kern w:val="2"/>
          <w:szCs w:val="22"/>
          <w:highlight w:val="none"/>
        </w:rPr>
        <w:t>智能化功能</w:t>
      </w:r>
    </w:p>
    <w:p>
      <w:pPr>
        <w:ind w:firstLine="420" w:firstLineChars="200"/>
        <w:rPr>
          <w:color w:val="auto"/>
          <w:highlight w:val="none"/>
        </w:rPr>
      </w:pPr>
      <w:r>
        <w:rPr>
          <w:rFonts w:hint="eastAsia"/>
          <w:color w:val="auto"/>
          <w:highlight w:val="none"/>
        </w:rPr>
        <w:t>带智能功能的陈列柜应包括且不限于以下智能化功能：</w:t>
      </w:r>
    </w:p>
    <w:p>
      <w:pPr>
        <w:pStyle w:val="246"/>
        <w:numPr>
          <w:ilvl w:val="0"/>
          <w:numId w:val="24"/>
        </w:numPr>
        <w:rPr>
          <w:color w:val="auto"/>
          <w:highlight w:val="none"/>
        </w:rPr>
      </w:pPr>
      <w:r>
        <w:rPr>
          <w:rFonts w:hint="eastAsia"/>
          <w:color w:val="auto"/>
          <w:highlight w:val="none"/>
        </w:rPr>
        <w:t>远程定位功能：通过客户终端可查看到陈列柜位置；</w:t>
      </w:r>
    </w:p>
    <w:p>
      <w:pPr>
        <w:pStyle w:val="246"/>
        <w:numPr>
          <w:ilvl w:val="0"/>
          <w:numId w:val="24"/>
        </w:numPr>
        <w:rPr>
          <w:color w:val="auto"/>
          <w:kern w:val="2"/>
          <w:szCs w:val="22"/>
          <w:highlight w:val="none"/>
        </w:rPr>
      </w:pPr>
      <w:r>
        <w:rPr>
          <w:rFonts w:hint="eastAsia"/>
          <w:color w:val="auto"/>
          <w:kern w:val="2"/>
          <w:szCs w:val="22"/>
          <w:highlight w:val="none"/>
        </w:rPr>
        <w:t>远程控制功能：通过客户终端实现温度、湿度控制功能；</w:t>
      </w:r>
    </w:p>
    <w:p>
      <w:pPr>
        <w:pStyle w:val="246"/>
        <w:numPr>
          <w:ilvl w:val="0"/>
          <w:numId w:val="24"/>
        </w:numPr>
        <w:rPr>
          <w:color w:val="auto"/>
          <w:kern w:val="2"/>
          <w:szCs w:val="22"/>
          <w:highlight w:val="none"/>
        </w:rPr>
      </w:pPr>
      <w:r>
        <w:rPr>
          <w:rFonts w:hint="eastAsia"/>
          <w:color w:val="auto"/>
          <w:kern w:val="2"/>
          <w:szCs w:val="22"/>
          <w:highlight w:val="none"/>
        </w:rPr>
        <w:t>远程巡检功能：通过客户终端查看</w:t>
      </w:r>
      <w:r>
        <w:rPr>
          <w:rFonts w:hint="eastAsia"/>
          <w:color w:val="auto"/>
          <w:highlight w:val="none"/>
        </w:rPr>
        <w:t>陈列柜</w:t>
      </w:r>
      <w:r>
        <w:rPr>
          <w:rFonts w:hint="eastAsia"/>
          <w:color w:val="auto"/>
          <w:kern w:val="2"/>
          <w:szCs w:val="22"/>
          <w:highlight w:val="none"/>
        </w:rPr>
        <w:t>的运行状态、储物情况等。</w:t>
      </w:r>
    </w:p>
    <w:p>
      <w:pPr>
        <w:pStyle w:val="117"/>
        <w:spacing w:before="312" w:after="312"/>
        <w:rPr>
          <w:color w:val="auto"/>
          <w:szCs w:val="21"/>
          <w:highlight w:val="none"/>
        </w:rPr>
      </w:pPr>
      <w:r>
        <w:rPr>
          <w:rFonts w:hint="eastAsia"/>
          <w:color w:val="auto"/>
          <w:szCs w:val="21"/>
          <w:highlight w:val="none"/>
        </w:rPr>
        <w:t>试验方法</w:t>
      </w:r>
    </w:p>
    <w:p>
      <w:pPr>
        <w:pStyle w:val="119"/>
        <w:spacing w:before="156" w:after="156"/>
        <w:rPr>
          <w:rFonts w:hAnsi="黑体"/>
          <w:color w:val="auto"/>
          <w:szCs w:val="21"/>
          <w:highlight w:val="none"/>
        </w:rPr>
      </w:pPr>
      <w:r>
        <w:rPr>
          <w:rFonts w:hint="eastAsia"/>
          <w:color w:val="auto"/>
          <w:szCs w:val="21"/>
          <w:highlight w:val="none"/>
        </w:rPr>
        <w:t>试验条件</w:t>
      </w:r>
    </w:p>
    <w:p>
      <w:pPr>
        <w:pStyle w:val="131"/>
        <w:widowControl w:val="0"/>
        <w:numPr>
          <w:ilvl w:val="2"/>
          <w:numId w:val="0"/>
        </w:numPr>
        <w:ind w:firstLine="420" w:firstLineChars="200"/>
        <w:rPr>
          <w:color w:val="auto"/>
          <w:w w:val="105"/>
          <w:highlight w:val="none"/>
        </w:rPr>
      </w:pPr>
      <w:r>
        <w:rPr>
          <w:rFonts w:hint="eastAsia"/>
          <w:color w:val="auto"/>
          <w:highlight w:val="none"/>
        </w:rPr>
        <w:t>按</w:t>
      </w:r>
      <w:r>
        <w:rPr>
          <w:color w:val="auto"/>
          <w:highlight w:val="none"/>
        </w:rPr>
        <w:t>GB/T 21001.2—2015</w:t>
      </w:r>
      <w:r>
        <w:rPr>
          <w:rFonts w:hint="eastAsia"/>
          <w:color w:val="auto"/>
          <w:highlight w:val="none"/>
        </w:rPr>
        <w:t>中</w:t>
      </w:r>
      <w:r>
        <w:rPr>
          <w:color w:val="auto"/>
          <w:highlight w:val="none"/>
        </w:rPr>
        <w:t>5.3.1</w:t>
      </w:r>
      <w:r>
        <w:rPr>
          <w:rFonts w:hint="eastAsia"/>
          <w:color w:val="auto"/>
          <w:highlight w:val="none"/>
        </w:rPr>
        <w:t>的规定执行。</w:t>
      </w:r>
      <w:r>
        <w:rPr>
          <w:color w:val="auto"/>
          <w:w w:val="105"/>
          <w:highlight w:val="none"/>
        </w:rPr>
        <w:t>饮料冷藏陈列柜按SB/T 10794.3—2012</w:t>
      </w:r>
      <w:r>
        <w:rPr>
          <w:rFonts w:hint="eastAsia"/>
          <w:color w:val="auto"/>
          <w:highlight w:val="none"/>
        </w:rPr>
        <w:t>中</w:t>
      </w:r>
      <w:r>
        <w:rPr>
          <w:color w:val="auto"/>
          <w:highlight w:val="none"/>
        </w:rPr>
        <w:t>5.3.</w:t>
      </w:r>
      <w:r>
        <w:rPr>
          <w:rFonts w:hint="eastAsia"/>
          <w:color w:val="auto"/>
          <w:highlight w:val="none"/>
        </w:rPr>
        <w:t>2</w:t>
      </w:r>
      <w:r>
        <w:rPr>
          <w:color w:val="auto"/>
          <w:w w:val="105"/>
          <w:highlight w:val="none"/>
        </w:rPr>
        <w:t>的规定进行。</w:t>
      </w:r>
    </w:p>
    <w:p>
      <w:pPr>
        <w:pStyle w:val="119"/>
        <w:spacing w:before="156" w:after="156"/>
        <w:rPr>
          <w:rFonts w:hAnsi="黑体" w:cs="黑体"/>
          <w:color w:val="auto"/>
          <w:kern w:val="2"/>
          <w:szCs w:val="22"/>
          <w:highlight w:val="none"/>
        </w:rPr>
      </w:pPr>
      <w:r>
        <w:rPr>
          <w:rFonts w:hint="eastAsia" w:hAnsi="黑体" w:cs="黑体"/>
          <w:color w:val="auto"/>
          <w:kern w:val="2"/>
          <w:szCs w:val="22"/>
          <w:highlight w:val="none"/>
        </w:rPr>
        <w:t>外观</w:t>
      </w:r>
    </w:p>
    <w:p>
      <w:pPr>
        <w:pStyle w:val="237"/>
        <w:rPr>
          <w:color w:val="auto"/>
          <w:kern w:val="2"/>
          <w:szCs w:val="22"/>
          <w:highlight w:val="none"/>
        </w:rPr>
      </w:pPr>
      <w:r>
        <w:rPr>
          <w:rFonts w:hint="eastAsia"/>
          <w:color w:val="auto"/>
          <w:kern w:val="2"/>
          <w:szCs w:val="22"/>
          <w:highlight w:val="none"/>
        </w:rPr>
        <w:t>采用目测、手感方法进行检查。</w:t>
      </w:r>
    </w:p>
    <w:p>
      <w:pPr>
        <w:pStyle w:val="119"/>
        <w:spacing w:before="156" w:after="156"/>
        <w:rPr>
          <w:color w:val="auto"/>
          <w:szCs w:val="21"/>
          <w:highlight w:val="none"/>
        </w:rPr>
      </w:pPr>
      <w:r>
        <w:rPr>
          <w:rFonts w:hint="eastAsia" w:hAnsi="黑体"/>
          <w:color w:val="auto"/>
          <w:szCs w:val="21"/>
          <w:highlight w:val="none"/>
        </w:rPr>
        <w:t>总</w:t>
      </w:r>
      <w:r>
        <w:rPr>
          <w:rFonts w:hint="eastAsia"/>
          <w:color w:val="auto"/>
          <w:spacing w:val="-3"/>
          <w:w w:val="105"/>
          <w:szCs w:val="21"/>
          <w:highlight w:val="none"/>
        </w:rPr>
        <w:t>有效容积</w:t>
      </w:r>
    </w:p>
    <w:p>
      <w:pPr>
        <w:ind w:firstLine="420" w:firstLineChars="200"/>
        <w:rPr>
          <w:color w:val="auto"/>
          <w:highlight w:val="none"/>
        </w:rPr>
      </w:pPr>
      <w:r>
        <w:rPr>
          <w:rFonts w:hint="eastAsia"/>
          <w:color w:val="auto"/>
          <w:highlight w:val="none"/>
        </w:rPr>
        <w:t>各间室有效容积及总有效容积按</w:t>
      </w:r>
      <w:r>
        <w:rPr>
          <w:color w:val="auto"/>
          <w:highlight w:val="none"/>
        </w:rPr>
        <w:t>SB/T 10794.2</w:t>
      </w:r>
      <w:r>
        <w:rPr>
          <w:rFonts w:hint="eastAsia"/>
          <w:color w:val="auto"/>
          <w:highlight w:val="none"/>
        </w:rPr>
        <w:t>—</w:t>
      </w:r>
      <w:r>
        <w:rPr>
          <w:color w:val="auto"/>
          <w:highlight w:val="none"/>
        </w:rPr>
        <w:t>2012</w:t>
      </w:r>
      <w:r>
        <w:rPr>
          <w:rFonts w:hint="eastAsia"/>
          <w:color w:val="auto"/>
          <w:highlight w:val="none"/>
        </w:rPr>
        <w:t>附录</w:t>
      </w:r>
      <w:r>
        <w:rPr>
          <w:color w:val="auto"/>
          <w:highlight w:val="none"/>
        </w:rPr>
        <w:t>A</w:t>
      </w:r>
      <w:r>
        <w:rPr>
          <w:rFonts w:hint="eastAsia"/>
          <w:color w:val="auto"/>
          <w:highlight w:val="none"/>
        </w:rPr>
        <w:t>方法进行试验。</w:t>
      </w:r>
    </w:p>
    <w:p>
      <w:pPr>
        <w:pStyle w:val="119"/>
        <w:spacing w:before="156" w:after="156"/>
        <w:rPr>
          <w:color w:val="auto"/>
          <w:highlight w:val="none"/>
        </w:rPr>
      </w:pPr>
      <w:r>
        <w:rPr>
          <w:rFonts w:hint="eastAsia"/>
          <w:color w:val="auto"/>
          <w:highlight w:val="none"/>
        </w:rPr>
        <w:t>展示面积（TDA)</w:t>
      </w:r>
    </w:p>
    <w:p>
      <w:pPr>
        <w:ind w:firstLine="420" w:firstLineChars="200"/>
        <w:rPr>
          <w:color w:val="auto"/>
          <w:highlight w:val="none"/>
        </w:rPr>
      </w:pPr>
      <w:bookmarkStart w:id="27" w:name="OLE_LINK23"/>
      <w:r>
        <w:rPr>
          <w:rFonts w:hint="eastAsia"/>
          <w:color w:val="auto"/>
          <w:highlight w:val="none"/>
        </w:rPr>
        <w:t>按GB/T 21001.2—2015附录A进行</w:t>
      </w:r>
      <w:r>
        <w:rPr>
          <w:rFonts w:hint="eastAsia"/>
          <w:color w:val="auto"/>
          <w:highlight w:val="none"/>
          <w:lang w:eastAsia="zh-CN"/>
        </w:rPr>
        <w:t>测量、</w:t>
      </w:r>
      <w:r>
        <w:rPr>
          <w:rFonts w:hint="eastAsia"/>
          <w:color w:val="auto"/>
          <w:highlight w:val="none"/>
        </w:rPr>
        <w:t>计算</w:t>
      </w:r>
      <w:bookmarkEnd w:id="27"/>
      <w:r>
        <w:rPr>
          <w:rFonts w:hint="eastAsia"/>
          <w:color w:val="auto"/>
          <w:highlight w:val="none"/>
        </w:rPr>
        <w:t>。</w:t>
      </w:r>
    </w:p>
    <w:p>
      <w:pPr>
        <w:pStyle w:val="119"/>
        <w:spacing w:before="156" w:after="156"/>
        <w:rPr>
          <w:rFonts w:hAnsi="黑体"/>
          <w:color w:val="auto"/>
          <w:szCs w:val="21"/>
          <w:highlight w:val="none"/>
        </w:rPr>
      </w:pPr>
      <w:r>
        <w:rPr>
          <w:rFonts w:hint="eastAsia" w:hAnsi="黑体"/>
          <w:color w:val="auto"/>
          <w:szCs w:val="21"/>
          <w:highlight w:val="none"/>
        </w:rPr>
        <w:t>制冷性能</w:t>
      </w:r>
    </w:p>
    <w:p>
      <w:pPr>
        <w:pStyle w:val="121"/>
        <w:spacing w:before="156" w:after="156"/>
        <w:rPr>
          <w:color w:val="auto"/>
          <w:szCs w:val="21"/>
          <w:highlight w:val="none"/>
        </w:rPr>
      </w:pPr>
      <w:r>
        <w:rPr>
          <w:rFonts w:hint="eastAsia"/>
          <w:color w:val="auto"/>
          <w:szCs w:val="21"/>
          <w:highlight w:val="none"/>
        </w:rPr>
        <w:t>温度</w:t>
      </w:r>
    </w:p>
    <w:p>
      <w:pPr>
        <w:ind w:firstLine="420" w:firstLineChars="200"/>
        <w:rPr>
          <w:color w:val="auto"/>
          <w:highlight w:val="none"/>
        </w:rPr>
      </w:pPr>
      <w:r>
        <w:rPr>
          <w:rFonts w:hint="eastAsia"/>
          <w:color w:val="auto"/>
          <w:highlight w:val="none"/>
        </w:rPr>
        <w:t>按GB/T 21001.2—2015中的5.3.1和5.3.2进行定位和装载，在指定的试验室气候类型</w:t>
      </w:r>
      <w:r>
        <w:rPr>
          <w:rFonts w:hint="eastAsia"/>
          <w:color w:val="auto"/>
          <w:highlight w:val="none"/>
          <w:lang w:eastAsia="zh-CN"/>
        </w:rPr>
        <w:t>和</w:t>
      </w:r>
      <w:r>
        <w:rPr>
          <w:rFonts w:hint="eastAsia"/>
          <w:color w:val="auto"/>
          <w:highlight w:val="none"/>
        </w:rPr>
        <w:t>稳定状态下测定，其中稳定状态按GB/T 21001.2—2015中的5.3.2.5</w:t>
      </w:r>
      <w:r>
        <w:rPr>
          <w:rFonts w:hint="eastAsia"/>
          <w:color w:val="auto"/>
          <w:highlight w:val="none"/>
          <w:lang w:eastAsia="zh-CN"/>
        </w:rPr>
        <w:t>的规定</w:t>
      </w:r>
      <w:r>
        <w:rPr>
          <w:rFonts w:hint="eastAsia"/>
          <w:color w:val="auto"/>
          <w:highlight w:val="none"/>
        </w:rPr>
        <w:t xml:space="preserve">进行判定。 </w:t>
      </w:r>
    </w:p>
    <w:p>
      <w:pPr>
        <w:ind w:firstLine="420" w:firstLineChars="200"/>
        <w:rPr>
          <w:color w:val="auto"/>
          <w:highlight w:val="none"/>
        </w:rPr>
      </w:pPr>
      <w:r>
        <w:rPr>
          <w:rFonts w:hint="eastAsia"/>
          <w:color w:val="auto"/>
          <w:highlight w:val="none"/>
        </w:rPr>
        <w:t>饮料冷藏陈列柜按</w:t>
      </w:r>
      <w:bookmarkStart w:id="28" w:name="OLE_LINK4"/>
      <w:r>
        <w:rPr>
          <w:rFonts w:hint="eastAsia"/>
          <w:color w:val="auto"/>
          <w:highlight w:val="none"/>
        </w:rPr>
        <w:t>SB/T 10794.3</w:t>
      </w:r>
      <w:bookmarkEnd w:id="28"/>
      <w:r>
        <w:rPr>
          <w:rFonts w:hint="eastAsia"/>
          <w:color w:val="auto"/>
          <w:highlight w:val="none"/>
        </w:rPr>
        <w:t>—2012中的规定进行定位和装载，在指定的试验室气候类型下测定。</w:t>
      </w:r>
    </w:p>
    <w:p>
      <w:pPr>
        <w:pStyle w:val="121"/>
        <w:spacing w:before="156" w:after="156"/>
        <w:rPr>
          <w:color w:val="auto"/>
          <w:szCs w:val="21"/>
          <w:highlight w:val="none"/>
        </w:rPr>
      </w:pPr>
      <w:r>
        <w:rPr>
          <w:rFonts w:hint="eastAsia"/>
          <w:color w:val="auto"/>
          <w:szCs w:val="21"/>
          <w:highlight w:val="none"/>
        </w:rPr>
        <w:t>启动性能</w:t>
      </w:r>
    </w:p>
    <w:p>
      <w:pPr>
        <w:ind w:firstLine="420" w:firstLineChars="200"/>
        <w:rPr>
          <w:color w:val="auto"/>
          <w:highlight w:val="none"/>
        </w:rPr>
      </w:pPr>
      <w:r>
        <w:rPr>
          <w:rFonts w:hint="eastAsia"/>
          <w:color w:val="auto"/>
          <w:highlight w:val="none"/>
        </w:rPr>
        <w:t>按</w:t>
      </w:r>
      <w:r>
        <w:rPr>
          <w:color w:val="auto"/>
          <w:highlight w:val="none"/>
        </w:rPr>
        <w:t>SB/T 10794.2</w:t>
      </w:r>
      <w:r>
        <w:rPr>
          <w:rFonts w:hint="eastAsia"/>
          <w:color w:val="auto"/>
          <w:highlight w:val="none"/>
        </w:rPr>
        <w:t>—</w:t>
      </w:r>
      <w:r>
        <w:rPr>
          <w:color w:val="auto"/>
          <w:highlight w:val="none"/>
        </w:rPr>
        <w:t>2012</w:t>
      </w:r>
      <w:r>
        <w:rPr>
          <w:rFonts w:hint="eastAsia"/>
          <w:color w:val="auto"/>
          <w:highlight w:val="none"/>
        </w:rPr>
        <w:t>中</w:t>
      </w:r>
      <w:r>
        <w:rPr>
          <w:color w:val="auto"/>
          <w:highlight w:val="none"/>
        </w:rPr>
        <w:t>5.3.18</w:t>
      </w:r>
      <w:r>
        <w:rPr>
          <w:rFonts w:hint="eastAsia"/>
          <w:color w:val="auto"/>
          <w:highlight w:val="none"/>
        </w:rPr>
        <w:t>的方法进行试验。</w:t>
      </w:r>
    </w:p>
    <w:p>
      <w:pPr>
        <w:pStyle w:val="121"/>
        <w:spacing w:before="156" w:after="156"/>
        <w:rPr>
          <w:color w:val="auto"/>
          <w:szCs w:val="21"/>
          <w:highlight w:val="none"/>
        </w:rPr>
      </w:pPr>
      <w:r>
        <w:rPr>
          <w:rFonts w:hint="eastAsia"/>
          <w:color w:val="auto"/>
          <w:w w:val="105"/>
          <w:szCs w:val="21"/>
          <w:highlight w:val="none"/>
        </w:rPr>
        <w:t>电压变动试验</w:t>
      </w:r>
    </w:p>
    <w:p>
      <w:pPr>
        <w:ind w:firstLine="420" w:firstLineChars="200"/>
        <w:rPr>
          <w:color w:val="auto"/>
          <w:highlight w:val="none"/>
        </w:rPr>
      </w:pPr>
      <w:r>
        <w:rPr>
          <w:rFonts w:hint="eastAsia"/>
          <w:color w:val="auto"/>
          <w:highlight w:val="none"/>
        </w:rPr>
        <w:t>按</w:t>
      </w:r>
      <w:r>
        <w:rPr>
          <w:color w:val="auto"/>
          <w:highlight w:val="none"/>
        </w:rPr>
        <w:t>SB/T 10794.</w:t>
      </w:r>
      <w:r>
        <w:rPr>
          <w:rFonts w:hint="eastAsia"/>
          <w:color w:val="auto"/>
          <w:highlight w:val="none"/>
        </w:rPr>
        <w:t>3—</w:t>
      </w:r>
      <w:r>
        <w:rPr>
          <w:color w:val="auto"/>
          <w:highlight w:val="none"/>
        </w:rPr>
        <w:t>2012</w:t>
      </w:r>
      <w:r>
        <w:rPr>
          <w:rFonts w:hint="eastAsia"/>
          <w:color w:val="auto"/>
          <w:highlight w:val="none"/>
        </w:rPr>
        <w:t>中</w:t>
      </w:r>
      <w:r>
        <w:rPr>
          <w:color w:val="auto"/>
          <w:highlight w:val="none"/>
        </w:rPr>
        <w:t>5.3.</w:t>
      </w:r>
      <w:r>
        <w:rPr>
          <w:rFonts w:hint="eastAsia"/>
          <w:color w:val="auto"/>
          <w:highlight w:val="none"/>
        </w:rPr>
        <w:t>11的方法进行试验。</w:t>
      </w:r>
    </w:p>
    <w:p>
      <w:pPr>
        <w:pStyle w:val="121"/>
        <w:spacing w:before="156" w:after="156"/>
        <w:rPr>
          <w:color w:val="auto"/>
          <w:szCs w:val="21"/>
          <w:highlight w:val="none"/>
        </w:rPr>
      </w:pPr>
      <w:r>
        <w:rPr>
          <w:color w:val="auto"/>
          <w:spacing w:val="-3"/>
          <w:w w:val="105"/>
          <w:sz w:val="20"/>
          <w:highlight w:val="none"/>
        </w:rPr>
        <w:t>半载降温试验</w:t>
      </w:r>
    </w:p>
    <w:p>
      <w:pPr>
        <w:ind w:firstLine="440" w:firstLineChars="200"/>
        <w:rPr>
          <w:color w:val="auto"/>
          <w:w w:val="105"/>
          <w:highlight w:val="none"/>
        </w:rPr>
      </w:pPr>
      <w:r>
        <w:rPr>
          <w:color w:val="auto"/>
          <w:w w:val="105"/>
          <w:highlight w:val="none"/>
        </w:rPr>
        <w:t>按SB/T 10794.3</w:t>
      </w:r>
      <w:r>
        <w:rPr>
          <w:rFonts w:hint="eastAsia"/>
          <w:color w:val="auto"/>
          <w:highlight w:val="none"/>
        </w:rPr>
        <w:t>—</w:t>
      </w:r>
      <w:r>
        <w:rPr>
          <w:color w:val="auto"/>
          <w:w w:val="105"/>
          <w:highlight w:val="none"/>
        </w:rPr>
        <w:t>2012中的5.3.4进行。</w:t>
      </w:r>
    </w:p>
    <w:p>
      <w:pPr>
        <w:pStyle w:val="121"/>
        <w:spacing w:before="156" w:after="156"/>
        <w:rPr>
          <w:color w:val="auto"/>
          <w:w w:val="105"/>
          <w:szCs w:val="21"/>
          <w:highlight w:val="none"/>
        </w:rPr>
      </w:pPr>
      <w:r>
        <w:rPr>
          <w:rFonts w:hint="eastAsia"/>
          <w:color w:val="auto"/>
          <w:w w:val="105"/>
          <w:szCs w:val="21"/>
          <w:highlight w:val="none"/>
        </w:rPr>
        <w:t>水蒸气凝结</w:t>
      </w:r>
    </w:p>
    <w:p>
      <w:pPr>
        <w:pStyle w:val="23"/>
        <w:ind w:firstLine="420"/>
        <w:rPr>
          <w:color w:val="auto"/>
          <w:highlight w:val="none"/>
        </w:rPr>
      </w:pPr>
      <w:r>
        <w:rPr>
          <w:rFonts w:hint="eastAsia"/>
          <w:color w:val="auto"/>
          <w:highlight w:val="none"/>
        </w:rPr>
        <w:t>按</w:t>
      </w:r>
      <w:r>
        <w:rPr>
          <w:color w:val="auto"/>
          <w:highlight w:val="none"/>
        </w:rPr>
        <w:t>GB/T 21001.2</w:t>
      </w:r>
      <w:r>
        <w:rPr>
          <w:rFonts w:hint="eastAsia"/>
          <w:color w:val="auto"/>
          <w:highlight w:val="none"/>
        </w:rPr>
        <w:t>—</w:t>
      </w:r>
      <w:r>
        <w:rPr>
          <w:color w:val="auto"/>
          <w:highlight w:val="none"/>
        </w:rPr>
        <w:t>2015</w:t>
      </w:r>
      <w:r>
        <w:rPr>
          <w:rFonts w:hint="eastAsia"/>
          <w:color w:val="auto"/>
          <w:highlight w:val="none"/>
        </w:rPr>
        <w:t>中</w:t>
      </w:r>
      <w:r>
        <w:rPr>
          <w:color w:val="auto"/>
          <w:highlight w:val="none"/>
        </w:rPr>
        <w:t>5.3.4</w:t>
      </w:r>
      <w:r>
        <w:rPr>
          <w:rFonts w:hint="eastAsia"/>
          <w:color w:val="auto"/>
          <w:highlight w:val="none"/>
        </w:rPr>
        <w:t>的方法进行试验。</w:t>
      </w:r>
    </w:p>
    <w:p>
      <w:pPr>
        <w:pStyle w:val="121"/>
        <w:spacing w:before="156" w:after="156"/>
        <w:rPr>
          <w:color w:val="auto"/>
          <w:w w:val="105"/>
          <w:szCs w:val="21"/>
          <w:highlight w:val="none"/>
        </w:rPr>
      </w:pPr>
      <w:r>
        <w:rPr>
          <w:rFonts w:hint="eastAsia"/>
          <w:color w:val="auto"/>
          <w:w w:val="105"/>
          <w:szCs w:val="21"/>
          <w:highlight w:val="none"/>
        </w:rPr>
        <w:t>开门试验</w:t>
      </w:r>
    </w:p>
    <w:p>
      <w:pPr>
        <w:pStyle w:val="23"/>
        <w:ind w:firstLine="440"/>
        <w:rPr>
          <w:color w:val="auto"/>
          <w:highlight w:val="none"/>
        </w:rPr>
      </w:pPr>
      <w:r>
        <w:rPr>
          <w:color w:val="auto"/>
          <w:w w:val="105"/>
          <w:highlight w:val="none"/>
        </w:rPr>
        <w:t>按SB/T 10794.3</w:t>
      </w:r>
      <w:r>
        <w:rPr>
          <w:rFonts w:hint="eastAsia"/>
          <w:color w:val="auto"/>
          <w:highlight w:val="none"/>
        </w:rPr>
        <w:t>—</w:t>
      </w:r>
      <w:r>
        <w:rPr>
          <w:color w:val="auto"/>
          <w:w w:val="105"/>
          <w:highlight w:val="none"/>
        </w:rPr>
        <w:t>2012中的5.3.</w:t>
      </w:r>
      <w:r>
        <w:rPr>
          <w:rFonts w:hint="eastAsia"/>
          <w:color w:val="auto"/>
          <w:w w:val="105"/>
          <w:highlight w:val="none"/>
        </w:rPr>
        <w:t>6</w:t>
      </w:r>
      <w:r>
        <w:rPr>
          <w:color w:val="auto"/>
          <w:w w:val="105"/>
          <w:highlight w:val="none"/>
        </w:rPr>
        <w:t>进行。</w:t>
      </w:r>
    </w:p>
    <w:p>
      <w:pPr>
        <w:pStyle w:val="121"/>
        <w:spacing w:before="156" w:after="156"/>
        <w:rPr>
          <w:color w:val="auto"/>
          <w:w w:val="105"/>
          <w:szCs w:val="21"/>
          <w:highlight w:val="none"/>
        </w:rPr>
      </w:pPr>
      <w:r>
        <w:rPr>
          <w:rFonts w:hint="eastAsia"/>
          <w:color w:val="auto"/>
          <w:w w:val="105"/>
          <w:szCs w:val="21"/>
          <w:highlight w:val="none"/>
        </w:rPr>
        <w:t>蒸发器结霜试验</w:t>
      </w:r>
    </w:p>
    <w:p>
      <w:pPr>
        <w:pStyle w:val="23"/>
        <w:ind w:firstLine="440"/>
        <w:rPr>
          <w:color w:val="auto"/>
          <w:highlight w:val="none"/>
        </w:rPr>
      </w:pPr>
      <w:r>
        <w:rPr>
          <w:color w:val="auto"/>
          <w:w w:val="105"/>
          <w:highlight w:val="none"/>
        </w:rPr>
        <w:t>按SB/T 10794.3</w:t>
      </w:r>
      <w:r>
        <w:rPr>
          <w:rFonts w:hint="eastAsia"/>
          <w:color w:val="auto"/>
          <w:highlight w:val="none"/>
        </w:rPr>
        <w:t>—</w:t>
      </w:r>
      <w:r>
        <w:rPr>
          <w:color w:val="auto"/>
          <w:w w:val="105"/>
          <w:highlight w:val="none"/>
        </w:rPr>
        <w:t>2012中的5.3.</w:t>
      </w:r>
      <w:r>
        <w:rPr>
          <w:rFonts w:hint="eastAsia"/>
          <w:color w:val="auto"/>
          <w:w w:val="105"/>
          <w:highlight w:val="none"/>
        </w:rPr>
        <w:t>10</w:t>
      </w:r>
      <w:r>
        <w:rPr>
          <w:color w:val="auto"/>
          <w:w w:val="105"/>
          <w:highlight w:val="none"/>
        </w:rPr>
        <w:t>进行。</w:t>
      </w:r>
    </w:p>
    <w:p>
      <w:pPr>
        <w:pStyle w:val="121"/>
        <w:spacing w:before="156" w:after="156"/>
        <w:rPr>
          <w:color w:val="auto"/>
          <w:szCs w:val="21"/>
          <w:highlight w:val="none"/>
        </w:rPr>
      </w:pPr>
      <w:r>
        <w:rPr>
          <w:rFonts w:hint="eastAsia"/>
          <w:color w:val="auto"/>
          <w:szCs w:val="21"/>
          <w:highlight w:val="none"/>
        </w:rPr>
        <w:t>耗电量、能效指数</w:t>
      </w:r>
    </w:p>
    <w:p>
      <w:pPr>
        <w:ind w:firstLine="420" w:firstLineChars="200"/>
        <w:rPr>
          <w:color w:val="auto"/>
          <w:highlight w:val="none"/>
        </w:rPr>
      </w:pPr>
      <w:r>
        <w:rPr>
          <w:rFonts w:hint="eastAsia"/>
          <w:color w:val="auto"/>
          <w:highlight w:val="none"/>
        </w:rPr>
        <w:t>按</w:t>
      </w:r>
      <w:r>
        <w:rPr>
          <w:color w:val="auto"/>
          <w:highlight w:val="none"/>
        </w:rPr>
        <w:t>GB 26920.2</w:t>
      </w:r>
      <w:r>
        <w:rPr>
          <w:rFonts w:hint="eastAsia"/>
          <w:color w:val="auto"/>
          <w:highlight w:val="none"/>
        </w:rPr>
        <w:t>的方法进行试验。</w:t>
      </w:r>
    </w:p>
    <w:p>
      <w:pPr>
        <w:pStyle w:val="119"/>
        <w:spacing w:before="156" w:after="156"/>
        <w:rPr>
          <w:rFonts w:hAnsi="黑体"/>
          <w:color w:val="auto"/>
          <w:szCs w:val="21"/>
          <w:highlight w:val="none"/>
        </w:rPr>
      </w:pPr>
      <w:r>
        <w:rPr>
          <w:rFonts w:hint="eastAsia" w:hAnsi="黑体"/>
          <w:color w:val="auto"/>
          <w:szCs w:val="21"/>
          <w:highlight w:val="none"/>
        </w:rPr>
        <w:t>噪声、振动</w:t>
      </w:r>
    </w:p>
    <w:p>
      <w:pPr>
        <w:pStyle w:val="121"/>
        <w:spacing w:before="156" w:after="156"/>
        <w:rPr>
          <w:color w:val="auto"/>
          <w:highlight w:val="none"/>
        </w:rPr>
      </w:pPr>
      <w:r>
        <w:rPr>
          <w:rFonts w:hint="eastAsia"/>
          <w:color w:val="auto"/>
          <w:szCs w:val="21"/>
          <w:highlight w:val="none"/>
        </w:rPr>
        <w:t>噪声</w:t>
      </w:r>
    </w:p>
    <w:p>
      <w:pPr>
        <w:ind w:firstLine="420" w:firstLineChars="200"/>
        <w:rPr>
          <w:color w:val="auto"/>
          <w:highlight w:val="none"/>
        </w:rPr>
      </w:pPr>
      <w:r>
        <w:rPr>
          <w:rFonts w:hint="eastAsia"/>
          <w:color w:val="auto"/>
          <w:highlight w:val="none"/>
        </w:rPr>
        <w:t>按</w:t>
      </w:r>
      <w:r>
        <w:rPr>
          <w:color w:val="auto"/>
          <w:highlight w:val="none"/>
        </w:rPr>
        <w:t>SB/T 10794.</w:t>
      </w:r>
      <w:r>
        <w:rPr>
          <w:rFonts w:hint="eastAsia"/>
          <w:color w:val="auto"/>
          <w:highlight w:val="none"/>
        </w:rPr>
        <w:t>3—</w:t>
      </w:r>
      <w:r>
        <w:rPr>
          <w:color w:val="auto"/>
          <w:highlight w:val="none"/>
        </w:rPr>
        <w:t>2012</w:t>
      </w:r>
      <w:r>
        <w:rPr>
          <w:rFonts w:hint="eastAsia"/>
          <w:color w:val="auto"/>
          <w:highlight w:val="none"/>
        </w:rPr>
        <w:t>中</w:t>
      </w:r>
      <w:r>
        <w:rPr>
          <w:color w:val="auto"/>
          <w:highlight w:val="none"/>
        </w:rPr>
        <w:t xml:space="preserve"> 5.3.16</w:t>
      </w:r>
      <w:r>
        <w:rPr>
          <w:rFonts w:hint="eastAsia"/>
          <w:color w:val="auto"/>
          <w:highlight w:val="none"/>
        </w:rPr>
        <w:t>的方法进行试验。</w:t>
      </w:r>
    </w:p>
    <w:p>
      <w:pPr>
        <w:pStyle w:val="121"/>
        <w:spacing w:before="156" w:after="156"/>
        <w:rPr>
          <w:color w:val="auto"/>
          <w:highlight w:val="none"/>
        </w:rPr>
      </w:pPr>
      <w:r>
        <w:rPr>
          <w:rFonts w:hint="eastAsia"/>
          <w:color w:val="auto"/>
          <w:highlight w:val="none"/>
        </w:rPr>
        <w:t>振动</w:t>
      </w:r>
    </w:p>
    <w:p>
      <w:pPr>
        <w:ind w:firstLine="440" w:firstLineChars="200"/>
        <w:rPr>
          <w:color w:val="auto"/>
          <w:highlight w:val="none"/>
        </w:rPr>
      </w:pPr>
      <w:r>
        <w:rPr>
          <w:color w:val="auto"/>
          <w:w w:val="105"/>
          <w:highlight w:val="none"/>
        </w:rPr>
        <w:t>SB/T 10794.3</w:t>
      </w:r>
      <w:r>
        <w:rPr>
          <w:rFonts w:hint="eastAsia"/>
          <w:color w:val="auto"/>
          <w:highlight w:val="none"/>
        </w:rPr>
        <w:t>—</w:t>
      </w:r>
      <w:r>
        <w:rPr>
          <w:color w:val="auto"/>
          <w:w w:val="105"/>
          <w:highlight w:val="none"/>
        </w:rPr>
        <w:t>2012中的5.3.16</w:t>
      </w:r>
      <w:r>
        <w:rPr>
          <w:rFonts w:hint="eastAsia"/>
          <w:color w:val="auto"/>
          <w:highlight w:val="none"/>
        </w:rPr>
        <w:t>的方法进行试验。</w:t>
      </w:r>
    </w:p>
    <w:p>
      <w:pPr>
        <w:pStyle w:val="119"/>
        <w:spacing w:before="156" w:after="156"/>
        <w:rPr>
          <w:rFonts w:hAnsi="黑体"/>
          <w:color w:val="auto"/>
          <w:w w:val="105"/>
          <w:szCs w:val="21"/>
          <w:highlight w:val="none"/>
        </w:rPr>
      </w:pPr>
      <w:r>
        <w:rPr>
          <w:rFonts w:hint="eastAsia" w:hAnsi="黑体"/>
          <w:color w:val="auto"/>
          <w:w w:val="105"/>
          <w:szCs w:val="21"/>
          <w:highlight w:val="none"/>
        </w:rPr>
        <w:t>密封性能</w:t>
      </w:r>
    </w:p>
    <w:p>
      <w:pPr>
        <w:pStyle w:val="121"/>
        <w:spacing w:before="156" w:after="156"/>
        <w:rPr>
          <w:color w:val="auto"/>
          <w:w w:val="105"/>
          <w:szCs w:val="21"/>
          <w:highlight w:val="none"/>
        </w:rPr>
      </w:pPr>
      <w:r>
        <w:rPr>
          <w:rFonts w:hint="eastAsia"/>
          <w:color w:val="auto"/>
          <w:w w:val="105"/>
          <w:szCs w:val="21"/>
          <w:highlight w:val="none"/>
        </w:rPr>
        <w:t>门和盖的密封试验</w:t>
      </w:r>
    </w:p>
    <w:p>
      <w:pPr>
        <w:ind w:firstLine="420" w:firstLineChars="200"/>
        <w:rPr>
          <w:color w:val="auto"/>
          <w:highlight w:val="none"/>
        </w:rPr>
      </w:pPr>
      <w:r>
        <w:rPr>
          <w:rFonts w:hint="eastAsia"/>
          <w:color w:val="auto"/>
          <w:highlight w:val="none"/>
        </w:rPr>
        <w:t>按</w:t>
      </w:r>
      <w:r>
        <w:rPr>
          <w:color w:val="auto"/>
          <w:highlight w:val="none"/>
        </w:rPr>
        <w:t>GB/T 21001.2</w:t>
      </w:r>
      <w:r>
        <w:rPr>
          <w:rFonts w:hint="eastAsia"/>
          <w:color w:val="auto"/>
          <w:highlight w:val="none"/>
        </w:rPr>
        <w:t>—</w:t>
      </w:r>
      <w:r>
        <w:rPr>
          <w:color w:val="auto"/>
          <w:highlight w:val="none"/>
        </w:rPr>
        <w:t>2015</w:t>
      </w:r>
      <w:r>
        <w:rPr>
          <w:rFonts w:hint="eastAsia"/>
          <w:color w:val="auto"/>
          <w:highlight w:val="none"/>
        </w:rPr>
        <w:t>中</w:t>
      </w:r>
      <w:r>
        <w:rPr>
          <w:color w:val="auto"/>
          <w:highlight w:val="none"/>
        </w:rPr>
        <w:t>5.2.1</w:t>
      </w:r>
      <w:r>
        <w:rPr>
          <w:rFonts w:hint="eastAsia"/>
          <w:color w:val="auto"/>
          <w:highlight w:val="none"/>
        </w:rPr>
        <w:t>的方法进行试验。</w:t>
      </w:r>
    </w:p>
    <w:p>
      <w:pPr>
        <w:pStyle w:val="121"/>
        <w:spacing w:before="156" w:after="156"/>
        <w:rPr>
          <w:color w:val="auto"/>
          <w:w w:val="105"/>
          <w:szCs w:val="21"/>
          <w:highlight w:val="none"/>
        </w:rPr>
      </w:pPr>
      <w:r>
        <w:rPr>
          <w:rFonts w:hint="eastAsia"/>
          <w:color w:val="auto"/>
          <w:w w:val="105"/>
          <w:szCs w:val="21"/>
          <w:highlight w:val="none"/>
        </w:rPr>
        <w:t>制冷系统密封性能</w:t>
      </w:r>
    </w:p>
    <w:p>
      <w:pPr>
        <w:ind w:firstLine="440" w:firstLineChars="200"/>
        <w:rPr>
          <w:color w:val="auto"/>
          <w:highlight w:val="none"/>
        </w:rPr>
      </w:pPr>
      <w:r>
        <w:rPr>
          <w:rFonts w:hint="eastAsia"/>
          <w:color w:val="auto"/>
          <w:w w:val="105"/>
          <w:highlight w:val="none"/>
        </w:rPr>
        <w:t>陈</w:t>
      </w:r>
      <w:r>
        <w:rPr>
          <w:color w:val="auto"/>
          <w:w w:val="105"/>
          <w:highlight w:val="none"/>
        </w:rPr>
        <w:t>列柜在16</w:t>
      </w:r>
      <w:r>
        <w:rPr>
          <w:rFonts w:hint="eastAsia"/>
          <w:color w:val="auto"/>
          <w:w w:val="105"/>
          <w:highlight w:val="none"/>
        </w:rPr>
        <w:t xml:space="preserve"> </w:t>
      </w:r>
      <w:r>
        <w:rPr>
          <w:color w:val="auto"/>
          <w:w w:val="105"/>
          <w:highlight w:val="none"/>
        </w:rPr>
        <w:t>℃～32</w:t>
      </w:r>
      <w:r>
        <w:rPr>
          <w:rFonts w:hint="eastAsia"/>
          <w:color w:val="auto"/>
          <w:w w:val="105"/>
          <w:highlight w:val="none"/>
        </w:rPr>
        <w:t xml:space="preserve"> </w:t>
      </w:r>
      <w:r>
        <w:rPr>
          <w:color w:val="auto"/>
          <w:w w:val="105"/>
          <w:highlight w:val="none"/>
        </w:rPr>
        <w:t>℃环境温度下放置，压力为常压，门盖关闭。</w:t>
      </w:r>
      <w:r>
        <w:rPr>
          <w:rFonts w:hint="eastAsia"/>
          <w:color w:val="auto"/>
          <w:w w:val="105"/>
          <w:highlight w:val="none"/>
        </w:rPr>
        <w:t>陈</w:t>
      </w:r>
      <w:r>
        <w:rPr>
          <w:color w:val="auto"/>
          <w:w w:val="105"/>
          <w:highlight w:val="none"/>
        </w:rPr>
        <w:t>列柜通电运行30</w:t>
      </w:r>
      <w:r>
        <w:rPr>
          <w:rFonts w:hint="eastAsia"/>
          <w:color w:val="auto"/>
          <w:w w:val="105"/>
          <w:highlight w:val="none"/>
        </w:rPr>
        <w:t xml:space="preserve"> </w:t>
      </w:r>
      <w:r>
        <w:rPr>
          <w:color w:val="auto"/>
          <w:w w:val="105"/>
          <w:highlight w:val="none"/>
        </w:rPr>
        <w:t>min后，用检漏仪对制冷系统的任何部位进行检漏时，不应出现制冷剂年泄漏量大于0.5</w:t>
      </w:r>
      <w:r>
        <w:rPr>
          <w:rFonts w:hint="eastAsia"/>
          <w:color w:val="auto"/>
          <w:w w:val="105"/>
          <w:highlight w:val="none"/>
        </w:rPr>
        <w:t xml:space="preserve"> </w:t>
      </w:r>
      <w:r>
        <w:rPr>
          <w:color w:val="auto"/>
          <w:w w:val="105"/>
          <w:highlight w:val="none"/>
        </w:rPr>
        <w:t>g的泄漏点。</w:t>
      </w:r>
    </w:p>
    <w:p>
      <w:pPr>
        <w:pStyle w:val="119"/>
        <w:spacing w:before="156" w:after="156"/>
        <w:rPr>
          <w:rFonts w:hAnsi="黑体"/>
          <w:color w:val="auto"/>
          <w:w w:val="105"/>
          <w:szCs w:val="21"/>
          <w:highlight w:val="none"/>
        </w:rPr>
      </w:pPr>
      <w:r>
        <w:rPr>
          <w:rFonts w:hint="eastAsia" w:hAnsi="黑体"/>
          <w:color w:val="auto"/>
          <w:w w:val="105"/>
          <w:szCs w:val="21"/>
          <w:highlight w:val="none"/>
        </w:rPr>
        <w:t>卫生安全</w:t>
      </w:r>
    </w:p>
    <w:p>
      <w:pPr>
        <w:pStyle w:val="121"/>
        <w:spacing w:before="156" w:after="156"/>
        <w:rPr>
          <w:rFonts w:eastAsia="宋体"/>
          <w:color w:val="auto"/>
          <w:highlight w:val="none"/>
        </w:rPr>
      </w:pPr>
      <w:r>
        <w:rPr>
          <w:rFonts w:hint="eastAsia"/>
          <w:color w:val="auto"/>
          <w:highlight w:val="none"/>
        </w:rPr>
        <w:t>电气安全</w:t>
      </w:r>
    </w:p>
    <w:p>
      <w:pPr>
        <w:ind w:firstLine="420" w:firstLineChars="200"/>
        <w:rPr>
          <w:color w:val="auto"/>
          <w:highlight w:val="none"/>
        </w:rPr>
      </w:pPr>
      <w:r>
        <w:rPr>
          <w:rFonts w:hint="eastAsia"/>
          <w:color w:val="auto"/>
          <w:highlight w:val="none"/>
        </w:rPr>
        <w:t>按</w:t>
      </w:r>
      <w:r>
        <w:rPr>
          <w:color w:val="auto"/>
          <w:highlight w:val="none"/>
        </w:rPr>
        <w:t>GB 4706.1</w:t>
      </w:r>
      <w:r>
        <w:rPr>
          <w:rFonts w:hint="eastAsia"/>
          <w:color w:val="auto"/>
          <w:highlight w:val="none"/>
        </w:rPr>
        <w:t>和</w:t>
      </w:r>
      <w:r>
        <w:rPr>
          <w:color w:val="auto"/>
          <w:highlight w:val="none"/>
        </w:rPr>
        <w:t>GB 4706.102</w:t>
      </w:r>
      <w:r>
        <w:rPr>
          <w:rFonts w:hint="eastAsia"/>
          <w:color w:val="auto"/>
          <w:highlight w:val="none"/>
        </w:rPr>
        <w:t>的方法进行试验。</w:t>
      </w:r>
    </w:p>
    <w:p>
      <w:pPr>
        <w:pStyle w:val="121"/>
        <w:spacing w:before="156" w:after="156"/>
        <w:rPr>
          <w:color w:val="auto"/>
          <w:w w:val="105"/>
          <w:szCs w:val="21"/>
          <w:highlight w:val="none"/>
        </w:rPr>
      </w:pPr>
      <w:r>
        <w:rPr>
          <w:rFonts w:hint="eastAsia"/>
          <w:color w:val="auto"/>
          <w:w w:val="105"/>
          <w:szCs w:val="21"/>
          <w:highlight w:val="none"/>
        </w:rPr>
        <w:t>电磁兼容</w:t>
      </w:r>
    </w:p>
    <w:p>
      <w:pPr>
        <w:ind w:firstLine="420" w:firstLineChars="200"/>
        <w:rPr>
          <w:color w:val="auto"/>
          <w:highlight w:val="none"/>
        </w:rPr>
      </w:pPr>
      <w:r>
        <w:rPr>
          <w:rFonts w:hint="eastAsia"/>
          <w:color w:val="auto"/>
          <w:highlight w:val="none"/>
        </w:rPr>
        <w:t>按</w:t>
      </w:r>
      <w:r>
        <w:rPr>
          <w:color w:val="auto"/>
          <w:highlight w:val="none"/>
        </w:rPr>
        <w:t>GB 17625.1</w:t>
      </w:r>
      <w:r>
        <w:rPr>
          <w:rFonts w:hint="eastAsia"/>
          <w:color w:val="auto"/>
          <w:highlight w:val="none"/>
        </w:rPr>
        <w:t>和</w:t>
      </w:r>
      <w:r>
        <w:rPr>
          <w:color w:val="auto"/>
          <w:highlight w:val="none"/>
        </w:rPr>
        <w:t>GB 4343.1</w:t>
      </w:r>
      <w:r>
        <w:rPr>
          <w:rFonts w:hint="eastAsia"/>
          <w:color w:val="auto"/>
          <w:highlight w:val="none"/>
        </w:rPr>
        <w:t>、</w:t>
      </w:r>
      <w:r>
        <w:rPr>
          <w:color w:val="auto"/>
          <w:highlight w:val="none"/>
        </w:rPr>
        <w:t>GB/T 4343.2</w:t>
      </w:r>
      <w:r>
        <w:rPr>
          <w:rFonts w:hint="eastAsia"/>
          <w:color w:val="auto"/>
          <w:highlight w:val="none"/>
        </w:rPr>
        <w:t>的方法进行试验。</w:t>
      </w:r>
    </w:p>
    <w:p>
      <w:pPr>
        <w:pStyle w:val="121"/>
        <w:spacing w:before="156" w:after="156"/>
        <w:rPr>
          <w:color w:val="auto"/>
          <w:w w:val="105"/>
          <w:szCs w:val="21"/>
          <w:highlight w:val="none"/>
        </w:rPr>
      </w:pPr>
      <w:r>
        <w:rPr>
          <w:rFonts w:hint="eastAsia"/>
          <w:color w:val="auto"/>
          <w:w w:val="105"/>
          <w:szCs w:val="21"/>
          <w:highlight w:val="none"/>
        </w:rPr>
        <w:t>与食品接触材料安全</w:t>
      </w:r>
    </w:p>
    <w:p>
      <w:pPr>
        <w:ind w:firstLine="420" w:firstLineChars="200"/>
        <w:rPr>
          <w:color w:val="auto"/>
          <w:highlight w:val="none"/>
        </w:rPr>
      </w:pPr>
      <w:r>
        <w:rPr>
          <w:rFonts w:hint="eastAsia"/>
          <w:color w:val="auto"/>
          <w:highlight w:val="none"/>
        </w:rPr>
        <w:t>按GB 4806.1和表5的方法进行试验。</w:t>
      </w:r>
    </w:p>
    <w:p>
      <w:pPr>
        <w:pStyle w:val="121"/>
        <w:spacing w:before="156" w:after="156"/>
        <w:rPr>
          <w:rFonts w:cs="黑体"/>
          <w:color w:val="auto"/>
          <w:kern w:val="2"/>
          <w:szCs w:val="22"/>
          <w:highlight w:val="none"/>
        </w:rPr>
      </w:pPr>
      <w:r>
        <w:rPr>
          <w:rFonts w:hint="eastAsia" w:cs="黑体"/>
          <w:color w:val="auto"/>
          <w:kern w:val="2"/>
          <w:szCs w:val="22"/>
          <w:highlight w:val="none"/>
        </w:rPr>
        <w:t>抗菌</w:t>
      </w:r>
    </w:p>
    <w:p>
      <w:pPr>
        <w:ind w:firstLine="420" w:firstLineChars="200"/>
        <w:rPr>
          <w:color w:val="auto"/>
          <w:highlight w:val="none"/>
        </w:rPr>
      </w:pPr>
      <w:r>
        <w:rPr>
          <w:rFonts w:hint="eastAsia"/>
          <w:color w:val="auto"/>
          <w:highlight w:val="none"/>
        </w:rPr>
        <w:t>按</w:t>
      </w:r>
      <w:r>
        <w:rPr>
          <w:color w:val="auto"/>
          <w:highlight w:val="none"/>
        </w:rPr>
        <w:t>GB 21551.1</w:t>
      </w:r>
      <w:r>
        <w:rPr>
          <w:rFonts w:hint="eastAsia"/>
          <w:color w:val="auto"/>
          <w:highlight w:val="none"/>
        </w:rPr>
        <w:t>、</w:t>
      </w:r>
      <w:r>
        <w:rPr>
          <w:color w:val="auto"/>
          <w:highlight w:val="none"/>
        </w:rPr>
        <w:t>GB 21551.2</w:t>
      </w:r>
      <w:r>
        <w:rPr>
          <w:rFonts w:hint="eastAsia"/>
          <w:color w:val="auto"/>
          <w:highlight w:val="none"/>
        </w:rPr>
        <w:t>和</w:t>
      </w:r>
      <w:r>
        <w:rPr>
          <w:color w:val="auto"/>
          <w:highlight w:val="none"/>
        </w:rPr>
        <w:t>GB 21551.4</w:t>
      </w:r>
      <w:r>
        <w:rPr>
          <w:rFonts w:hint="eastAsia"/>
          <w:color w:val="auto"/>
          <w:highlight w:val="none"/>
        </w:rPr>
        <w:t>的方法进行试验。</w:t>
      </w:r>
    </w:p>
    <w:p>
      <w:pPr>
        <w:pStyle w:val="119"/>
        <w:spacing w:before="156" w:after="156"/>
        <w:rPr>
          <w:rFonts w:hAnsi="黑体"/>
          <w:color w:val="auto"/>
          <w:w w:val="105"/>
          <w:szCs w:val="21"/>
          <w:highlight w:val="none"/>
        </w:rPr>
      </w:pPr>
      <w:r>
        <w:rPr>
          <w:rFonts w:hint="eastAsia" w:hAnsi="黑体"/>
          <w:color w:val="auto"/>
          <w:w w:val="105"/>
          <w:szCs w:val="21"/>
          <w:highlight w:val="none"/>
        </w:rPr>
        <w:t>环保性能</w:t>
      </w:r>
    </w:p>
    <w:p>
      <w:pPr>
        <w:pStyle w:val="121"/>
        <w:spacing w:before="156" w:after="156"/>
        <w:rPr>
          <w:color w:val="auto"/>
          <w:w w:val="105"/>
          <w:szCs w:val="21"/>
          <w:highlight w:val="none"/>
        </w:rPr>
      </w:pPr>
      <w:r>
        <w:rPr>
          <w:rFonts w:hint="eastAsia"/>
          <w:color w:val="auto"/>
          <w:w w:val="105"/>
          <w:szCs w:val="21"/>
          <w:highlight w:val="none"/>
        </w:rPr>
        <w:t>限用物质</w:t>
      </w:r>
    </w:p>
    <w:p>
      <w:pPr>
        <w:pStyle w:val="237"/>
        <w:rPr>
          <w:color w:val="auto"/>
          <w:kern w:val="2"/>
          <w:szCs w:val="22"/>
          <w:highlight w:val="none"/>
        </w:rPr>
      </w:pPr>
      <w:r>
        <w:rPr>
          <w:rFonts w:hint="eastAsia"/>
          <w:color w:val="auto"/>
          <w:kern w:val="2"/>
          <w:szCs w:val="22"/>
          <w:highlight w:val="none"/>
        </w:rPr>
        <w:t>按</w:t>
      </w:r>
      <w:r>
        <w:rPr>
          <w:color w:val="auto"/>
          <w:kern w:val="2"/>
          <w:szCs w:val="22"/>
          <w:highlight w:val="none"/>
        </w:rPr>
        <w:t>GB/T 26572</w:t>
      </w:r>
      <w:r>
        <w:rPr>
          <w:rFonts w:hint="eastAsia"/>
          <w:color w:val="auto"/>
          <w:kern w:val="2"/>
          <w:szCs w:val="22"/>
          <w:highlight w:val="none"/>
        </w:rPr>
        <w:t>和</w:t>
      </w:r>
      <w:r>
        <w:rPr>
          <w:color w:val="auto"/>
          <w:kern w:val="2"/>
          <w:szCs w:val="22"/>
          <w:highlight w:val="none"/>
        </w:rPr>
        <w:t>GB/T 26125</w:t>
      </w:r>
      <w:r>
        <w:rPr>
          <w:rFonts w:hint="eastAsia"/>
          <w:color w:val="auto"/>
          <w:kern w:val="2"/>
          <w:szCs w:val="22"/>
          <w:highlight w:val="none"/>
        </w:rPr>
        <w:t>的</w:t>
      </w:r>
      <w:r>
        <w:rPr>
          <w:rFonts w:hint="eastAsia"/>
          <w:color w:val="auto"/>
          <w:highlight w:val="none"/>
        </w:rPr>
        <w:t>方法</w:t>
      </w:r>
      <w:r>
        <w:rPr>
          <w:rFonts w:hint="eastAsia"/>
          <w:color w:val="auto"/>
          <w:kern w:val="2"/>
          <w:szCs w:val="22"/>
          <w:highlight w:val="none"/>
        </w:rPr>
        <w:t>进行</w:t>
      </w:r>
      <w:r>
        <w:rPr>
          <w:rFonts w:hint="eastAsia"/>
          <w:color w:val="auto"/>
          <w:highlight w:val="none"/>
        </w:rPr>
        <w:t>试验</w:t>
      </w:r>
      <w:r>
        <w:rPr>
          <w:rFonts w:hint="eastAsia"/>
          <w:color w:val="auto"/>
          <w:kern w:val="2"/>
          <w:szCs w:val="22"/>
          <w:highlight w:val="none"/>
        </w:rPr>
        <w:t>。</w:t>
      </w:r>
    </w:p>
    <w:p>
      <w:pPr>
        <w:pStyle w:val="121"/>
        <w:spacing w:before="156" w:after="156"/>
        <w:rPr>
          <w:color w:val="auto"/>
          <w:w w:val="105"/>
          <w:szCs w:val="21"/>
          <w:highlight w:val="none"/>
        </w:rPr>
      </w:pPr>
      <w:r>
        <w:rPr>
          <w:rFonts w:hint="eastAsia"/>
          <w:color w:val="auto"/>
          <w:w w:val="105"/>
          <w:szCs w:val="21"/>
          <w:highlight w:val="none"/>
        </w:rPr>
        <w:t>制冷剂类型</w:t>
      </w:r>
    </w:p>
    <w:p>
      <w:pPr>
        <w:pStyle w:val="237"/>
        <w:rPr>
          <w:color w:val="auto"/>
          <w:kern w:val="2"/>
          <w:szCs w:val="22"/>
          <w:highlight w:val="none"/>
        </w:rPr>
      </w:pPr>
      <w:r>
        <w:rPr>
          <w:color w:val="auto"/>
          <w:kern w:val="2"/>
          <w:szCs w:val="22"/>
          <w:highlight w:val="none"/>
        </w:rPr>
        <w:t>R290</w:t>
      </w:r>
      <w:r>
        <w:rPr>
          <w:rFonts w:hint="eastAsia"/>
          <w:color w:val="auto"/>
          <w:kern w:val="2"/>
          <w:szCs w:val="22"/>
          <w:highlight w:val="none"/>
        </w:rPr>
        <w:t>或者</w:t>
      </w:r>
      <w:r>
        <w:rPr>
          <w:color w:val="auto"/>
          <w:kern w:val="2"/>
          <w:szCs w:val="22"/>
          <w:highlight w:val="none"/>
        </w:rPr>
        <w:t>R600a</w:t>
      </w:r>
      <w:r>
        <w:rPr>
          <w:rFonts w:hint="eastAsia"/>
          <w:color w:val="auto"/>
          <w:kern w:val="2"/>
          <w:szCs w:val="22"/>
          <w:highlight w:val="none"/>
        </w:rPr>
        <w:t>环保制冷剂的类型以检查铭牌参数或技术文件进行检查验证。</w:t>
      </w:r>
    </w:p>
    <w:p>
      <w:pPr>
        <w:pStyle w:val="119"/>
        <w:spacing w:before="156" w:after="156"/>
        <w:rPr>
          <w:rFonts w:hAnsi="黑体" w:cs="黑体"/>
          <w:color w:val="auto"/>
          <w:kern w:val="2"/>
          <w:szCs w:val="22"/>
          <w:highlight w:val="none"/>
        </w:rPr>
      </w:pPr>
      <w:r>
        <w:rPr>
          <w:rFonts w:hint="eastAsia" w:hAnsi="黑体" w:cs="黑体"/>
          <w:color w:val="auto"/>
          <w:kern w:val="2"/>
          <w:szCs w:val="22"/>
          <w:highlight w:val="none"/>
        </w:rPr>
        <w:t>智能化功能</w:t>
      </w:r>
    </w:p>
    <w:p>
      <w:pPr>
        <w:ind w:firstLine="420" w:firstLineChars="200"/>
        <w:rPr>
          <w:color w:val="auto"/>
          <w:highlight w:val="none"/>
        </w:rPr>
      </w:pPr>
      <w:r>
        <w:rPr>
          <w:rFonts w:hint="eastAsia"/>
          <w:color w:val="auto"/>
          <w:highlight w:val="none"/>
        </w:rPr>
        <w:t>采用功能验证的方法进行检查。</w:t>
      </w:r>
    </w:p>
    <w:p>
      <w:pPr>
        <w:pStyle w:val="117"/>
        <w:spacing w:before="312" w:after="312"/>
        <w:rPr>
          <w:color w:val="auto"/>
          <w:highlight w:val="none"/>
        </w:rPr>
      </w:pPr>
      <w:r>
        <w:rPr>
          <w:rFonts w:hint="eastAsia"/>
          <w:color w:val="auto"/>
          <w:highlight w:val="none"/>
        </w:rPr>
        <w:t>检验规则</w:t>
      </w:r>
    </w:p>
    <w:p>
      <w:pPr>
        <w:pStyle w:val="119"/>
        <w:spacing w:before="156" w:after="156"/>
        <w:rPr>
          <w:color w:val="auto"/>
          <w:highlight w:val="none"/>
        </w:rPr>
      </w:pPr>
      <w:r>
        <w:rPr>
          <w:rFonts w:hint="eastAsia"/>
          <w:color w:val="auto"/>
          <w:highlight w:val="none"/>
        </w:rPr>
        <w:t>检验分类</w:t>
      </w:r>
    </w:p>
    <w:p>
      <w:pPr>
        <w:pStyle w:val="23"/>
        <w:ind w:firstLine="420"/>
        <w:rPr>
          <w:color w:val="auto"/>
          <w:highlight w:val="none"/>
        </w:rPr>
      </w:pPr>
      <w:r>
        <w:rPr>
          <w:rFonts w:hint="eastAsia"/>
          <w:color w:val="auto"/>
          <w:highlight w:val="none"/>
        </w:rPr>
        <w:t>分为出厂检验和型式检验。</w:t>
      </w:r>
    </w:p>
    <w:p>
      <w:pPr>
        <w:pStyle w:val="119"/>
        <w:spacing w:before="156" w:after="156"/>
        <w:rPr>
          <w:color w:val="auto"/>
          <w:highlight w:val="none"/>
        </w:rPr>
      </w:pPr>
      <w:r>
        <w:rPr>
          <w:rFonts w:hint="eastAsia"/>
          <w:color w:val="auto"/>
          <w:highlight w:val="none"/>
        </w:rPr>
        <w:t>出厂检验</w:t>
      </w:r>
    </w:p>
    <w:p>
      <w:pPr>
        <w:pStyle w:val="131"/>
        <w:widowControl w:val="0"/>
        <w:rPr>
          <w:color w:val="auto"/>
          <w:spacing w:val="-3"/>
          <w:w w:val="105"/>
          <w:szCs w:val="21"/>
          <w:highlight w:val="none"/>
        </w:rPr>
      </w:pPr>
      <w:r>
        <w:rPr>
          <w:rFonts w:hint="eastAsia"/>
          <w:color w:val="auto"/>
          <w:highlight w:val="none"/>
        </w:rPr>
        <w:t>陈列柜</w:t>
      </w:r>
      <w:r>
        <w:rPr>
          <w:rFonts w:hint="eastAsia"/>
          <w:color w:val="auto"/>
          <w:spacing w:val="-3"/>
          <w:w w:val="105"/>
          <w:szCs w:val="21"/>
          <w:highlight w:val="none"/>
        </w:rPr>
        <w:t>应经制造厂质量检验部门检验合格后，并附有质量检验合格证、使用说明书、保修单及装箱清单后方可出厂。</w:t>
      </w:r>
    </w:p>
    <w:p>
      <w:pPr>
        <w:pStyle w:val="131"/>
        <w:widowControl w:val="0"/>
        <w:rPr>
          <w:color w:val="auto"/>
          <w:highlight w:val="none"/>
        </w:rPr>
      </w:pPr>
      <w:r>
        <w:rPr>
          <w:rFonts w:hint="eastAsia"/>
          <w:color w:val="auto"/>
          <w:highlight w:val="none"/>
        </w:rPr>
        <w:t>出厂检验项目及其不合格分类按表6规定。</w:t>
      </w:r>
    </w:p>
    <w:p>
      <w:pPr>
        <w:pStyle w:val="208"/>
        <w:tabs>
          <w:tab w:val="left" w:pos="0"/>
        </w:tabs>
        <w:spacing w:before="156" w:after="156"/>
        <w:rPr>
          <w:color w:val="auto"/>
          <w:w w:val="105"/>
          <w:highlight w:val="none"/>
        </w:rPr>
      </w:pPr>
      <w:r>
        <w:rPr>
          <w:rFonts w:hint="eastAsia"/>
          <w:color w:val="auto"/>
          <w:w w:val="105"/>
          <w:highlight w:val="none"/>
        </w:rPr>
        <w:t>出厂检验项目及其不合格分类</w:t>
      </w:r>
    </w:p>
    <w:tbl>
      <w:tblPr>
        <w:tblStyle w:val="1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300"/>
        <w:gridCol w:w="1605"/>
        <w:gridCol w:w="1836"/>
        <w:gridCol w:w="615"/>
        <w:gridCol w:w="660"/>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787" w:type="dxa"/>
            <w:vMerge w:val="restart"/>
            <w:tcBorders>
              <w:top w:val="single" w:color="auto" w:sz="12" w:space="0"/>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序号</w:t>
            </w:r>
          </w:p>
        </w:tc>
        <w:tc>
          <w:tcPr>
            <w:tcW w:w="3300" w:type="dxa"/>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检验项目</w:t>
            </w:r>
          </w:p>
        </w:tc>
        <w:tc>
          <w:tcPr>
            <w:tcW w:w="1605" w:type="dxa"/>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要求</w:t>
            </w:r>
          </w:p>
        </w:tc>
        <w:tc>
          <w:tcPr>
            <w:tcW w:w="1836" w:type="dxa"/>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试验方法</w:t>
            </w:r>
          </w:p>
        </w:tc>
        <w:tc>
          <w:tcPr>
            <w:tcW w:w="1936" w:type="dxa"/>
            <w:gridSpan w:val="3"/>
            <w:tcBorders>
              <w:top w:val="single" w:color="auto" w:sz="12"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3300" w:type="dxa"/>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605" w:type="dxa"/>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836" w:type="dxa"/>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15" w:type="dxa"/>
            <w:tcBorders>
              <w:top w:val="single" w:color="auto" w:sz="4"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A</w:t>
            </w:r>
          </w:p>
        </w:tc>
        <w:tc>
          <w:tcPr>
            <w:tcW w:w="660" w:type="dxa"/>
            <w:tcBorders>
              <w:top w:val="single" w:color="auto" w:sz="4"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B</w:t>
            </w:r>
          </w:p>
        </w:tc>
        <w:tc>
          <w:tcPr>
            <w:tcW w:w="661" w:type="dxa"/>
            <w:tcBorders>
              <w:top w:val="single" w:color="auto" w:sz="12"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外观</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5.1</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6.2</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2</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总有效容积</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5.2</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6.3</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3</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展示面积</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5.3</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6.4</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4</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温度</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5.4.1</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6.5.1</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启动性能</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5.4.2</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6.5.2</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耗电量、能效指数</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5.4.8</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6.5.8</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7</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噪声</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5.5.1</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6.6.1</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8</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制冷系统密封性能</w:t>
            </w:r>
          </w:p>
        </w:tc>
        <w:tc>
          <w:tcPr>
            <w:tcW w:w="16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5.6.2</w:t>
            </w:r>
          </w:p>
        </w:tc>
        <w:tc>
          <w:tcPr>
            <w:tcW w:w="183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6.7.2</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9</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对触及带电部件的防护</w:t>
            </w:r>
          </w:p>
        </w:tc>
        <w:tc>
          <w:tcPr>
            <w:tcW w:w="1605"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5.7.1</w:t>
            </w:r>
          </w:p>
        </w:tc>
        <w:tc>
          <w:tcPr>
            <w:tcW w:w="1836"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6.8.1</w:t>
            </w: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10</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工作温度下的泄漏电流</w:t>
            </w:r>
          </w:p>
        </w:tc>
        <w:tc>
          <w:tcPr>
            <w:tcW w:w="1605"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83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11</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泄漏电流和电气强度</w:t>
            </w:r>
          </w:p>
        </w:tc>
        <w:tc>
          <w:tcPr>
            <w:tcW w:w="1605"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83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12</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稳定性和机械危险</w:t>
            </w:r>
          </w:p>
        </w:tc>
        <w:tc>
          <w:tcPr>
            <w:tcW w:w="1605"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83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13</w:t>
            </w:r>
          </w:p>
        </w:tc>
        <w:tc>
          <w:tcPr>
            <w:tcW w:w="3300"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电源连接和外部软线</w:t>
            </w:r>
          </w:p>
        </w:tc>
        <w:tc>
          <w:tcPr>
            <w:tcW w:w="1605"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83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15"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14</w:t>
            </w:r>
          </w:p>
        </w:tc>
        <w:tc>
          <w:tcPr>
            <w:tcW w:w="3300"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接地措施</w:t>
            </w:r>
          </w:p>
        </w:tc>
        <w:tc>
          <w:tcPr>
            <w:tcW w:w="1605" w:type="dxa"/>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836" w:type="dxa"/>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15"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660"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661"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bl>
    <w:p>
      <w:pPr>
        <w:pStyle w:val="131"/>
        <w:widowControl w:val="0"/>
        <w:rPr>
          <w:color w:val="auto"/>
          <w:spacing w:val="-3"/>
          <w:w w:val="105"/>
          <w:szCs w:val="21"/>
          <w:highlight w:val="none"/>
        </w:rPr>
      </w:pPr>
      <w:r>
        <w:rPr>
          <w:rFonts w:hint="eastAsia"/>
          <w:color w:val="auto"/>
          <w:spacing w:val="-3"/>
          <w:w w:val="105"/>
          <w:szCs w:val="21"/>
          <w:highlight w:val="none"/>
        </w:rPr>
        <w:t>表</w:t>
      </w:r>
      <w:r>
        <w:rPr>
          <w:color w:val="auto"/>
          <w:spacing w:val="-3"/>
          <w:w w:val="105"/>
          <w:szCs w:val="21"/>
          <w:highlight w:val="none"/>
        </w:rPr>
        <w:t>4</w:t>
      </w:r>
      <w:r>
        <w:rPr>
          <w:rFonts w:hint="eastAsia"/>
          <w:color w:val="auto"/>
          <w:spacing w:val="-3"/>
          <w:w w:val="105"/>
          <w:szCs w:val="21"/>
          <w:highlight w:val="none"/>
        </w:rPr>
        <w:t>中序号为</w:t>
      </w:r>
      <w:r>
        <w:rPr>
          <w:color w:val="auto"/>
          <w:spacing w:val="-3"/>
          <w:w w:val="105"/>
          <w:szCs w:val="21"/>
          <w:highlight w:val="none"/>
        </w:rPr>
        <w:t>1</w:t>
      </w:r>
      <w:r>
        <w:rPr>
          <w:rFonts w:hint="eastAsia"/>
          <w:color w:val="auto"/>
          <w:spacing w:val="-3"/>
          <w:w w:val="105"/>
          <w:szCs w:val="21"/>
          <w:highlight w:val="none"/>
        </w:rPr>
        <w:t>、</w:t>
      </w:r>
      <w:r>
        <w:rPr>
          <w:color w:val="auto"/>
          <w:spacing w:val="-3"/>
          <w:w w:val="105"/>
          <w:szCs w:val="21"/>
          <w:highlight w:val="none"/>
        </w:rPr>
        <w:t>2</w:t>
      </w:r>
      <w:r>
        <w:rPr>
          <w:rFonts w:hint="eastAsia"/>
          <w:color w:val="auto"/>
          <w:spacing w:val="-3"/>
          <w:w w:val="105"/>
          <w:szCs w:val="21"/>
          <w:highlight w:val="none"/>
        </w:rPr>
        <w:t>、</w:t>
      </w:r>
      <w:r>
        <w:rPr>
          <w:color w:val="auto"/>
          <w:spacing w:val="-3"/>
          <w:w w:val="105"/>
          <w:szCs w:val="21"/>
          <w:highlight w:val="none"/>
        </w:rPr>
        <w:t>3</w:t>
      </w:r>
      <w:r>
        <w:rPr>
          <w:rFonts w:hint="eastAsia"/>
          <w:color w:val="auto"/>
          <w:spacing w:val="-3"/>
          <w:w w:val="105"/>
          <w:szCs w:val="21"/>
          <w:highlight w:val="none"/>
        </w:rPr>
        <w:t>、</w:t>
      </w:r>
      <w:r>
        <w:rPr>
          <w:color w:val="auto"/>
          <w:spacing w:val="-3"/>
          <w:w w:val="105"/>
          <w:szCs w:val="21"/>
          <w:highlight w:val="none"/>
        </w:rPr>
        <w:t>4</w:t>
      </w:r>
      <w:r>
        <w:rPr>
          <w:rFonts w:hint="eastAsia"/>
          <w:color w:val="auto"/>
          <w:spacing w:val="-3"/>
          <w:w w:val="105"/>
          <w:szCs w:val="21"/>
          <w:highlight w:val="none"/>
        </w:rPr>
        <w:t>、5、</w:t>
      </w:r>
      <w:r>
        <w:rPr>
          <w:color w:val="auto"/>
          <w:spacing w:val="-3"/>
          <w:w w:val="105"/>
          <w:szCs w:val="21"/>
          <w:highlight w:val="none"/>
        </w:rPr>
        <w:t>9</w:t>
      </w:r>
      <w:r>
        <w:rPr>
          <w:rFonts w:hint="eastAsia"/>
          <w:color w:val="auto"/>
          <w:spacing w:val="-3"/>
          <w:w w:val="105"/>
          <w:szCs w:val="21"/>
          <w:highlight w:val="none"/>
        </w:rPr>
        <w:t>、</w:t>
      </w:r>
      <w:r>
        <w:rPr>
          <w:color w:val="auto"/>
          <w:spacing w:val="-3"/>
          <w:w w:val="105"/>
          <w:szCs w:val="21"/>
          <w:highlight w:val="none"/>
        </w:rPr>
        <w:t>10</w:t>
      </w:r>
      <w:r>
        <w:rPr>
          <w:rFonts w:hint="eastAsia"/>
          <w:color w:val="auto"/>
          <w:spacing w:val="-3"/>
          <w:w w:val="105"/>
          <w:szCs w:val="21"/>
          <w:highlight w:val="none"/>
        </w:rPr>
        <w:t>、11为全检项目，其它项目为抽样检查。</w:t>
      </w:r>
    </w:p>
    <w:p>
      <w:pPr>
        <w:pStyle w:val="131"/>
        <w:widowControl w:val="0"/>
        <w:rPr>
          <w:color w:val="auto"/>
          <w:spacing w:val="-3"/>
          <w:w w:val="105"/>
          <w:szCs w:val="21"/>
          <w:highlight w:val="none"/>
        </w:rPr>
      </w:pPr>
      <w:r>
        <w:rPr>
          <w:rFonts w:hint="eastAsia"/>
          <w:color w:val="auto"/>
          <w:spacing w:val="-3"/>
          <w:w w:val="105"/>
          <w:szCs w:val="21"/>
          <w:highlight w:val="none"/>
        </w:rPr>
        <w:t>出厂检验抽样按</w:t>
      </w:r>
      <w:r>
        <w:rPr>
          <w:color w:val="auto"/>
          <w:spacing w:val="-3"/>
          <w:w w:val="105"/>
          <w:szCs w:val="21"/>
          <w:highlight w:val="none"/>
        </w:rPr>
        <w:t>GB/T 2828.1</w:t>
      </w:r>
      <w:r>
        <w:rPr>
          <w:rFonts w:hint="eastAsia"/>
          <w:color w:val="auto"/>
          <w:spacing w:val="-3"/>
          <w:w w:val="105"/>
          <w:szCs w:val="21"/>
          <w:highlight w:val="none"/>
        </w:rPr>
        <w:t>规定的一次正常抽样方案进行。</w:t>
      </w:r>
      <w:r>
        <w:rPr>
          <w:color w:val="auto"/>
          <w:spacing w:val="-3"/>
          <w:w w:val="105"/>
          <w:szCs w:val="21"/>
          <w:highlight w:val="none"/>
        </w:rPr>
        <w:t>A</w:t>
      </w:r>
      <w:r>
        <w:rPr>
          <w:rFonts w:hint="eastAsia"/>
          <w:color w:val="auto"/>
          <w:spacing w:val="-3"/>
          <w:w w:val="105"/>
          <w:szCs w:val="21"/>
          <w:highlight w:val="none"/>
        </w:rPr>
        <w:t>类不合格项为全检样本，</w:t>
      </w:r>
      <w:r>
        <w:rPr>
          <w:rFonts w:hint="eastAsia"/>
          <w:color w:val="auto"/>
          <w:highlight w:val="none"/>
        </w:rPr>
        <w:t>应</w:t>
      </w:r>
      <w:r>
        <w:rPr>
          <w:color w:val="auto"/>
          <w:highlight w:val="none"/>
        </w:rPr>
        <w:t>100%</w:t>
      </w:r>
      <w:r>
        <w:rPr>
          <w:rFonts w:hint="eastAsia"/>
          <w:color w:val="auto"/>
          <w:highlight w:val="none"/>
        </w:rPr>
        <w:t>合格</w:t>
      </w:r>
      <w:r>
        <w:rPr>
          <w:rFonts w:hint="eastAsia"/>
          <w:color w:val="auto"/>
          <w:spacing w:val="-3"/>
          <w:w w:val="105"/>
          <w:szCs w:val="21"/>
          <w:highlight w:val="none"/>
        </w:rPr>
        <w:t>，只要出现不合格项，则判该批产品不合格。</w:t>
      </w:r>
      <w:r>
        <w:rPr>
          <w:color w:val="auto"/>
          <w:spacing w:val="-3"/>
          <w:w w:val="105"/>
          <w:szCs w:val="21"/>
          <w:highlight w:val="none"/>
        </w:rPr>
        <w:t>B</w:t>
      </w:r>
      <w:r>
        <w:rPr>
          <w:rFonts w:hint="eastAsia"/>
          <w:color w:val="auto"/>
          <w:spacing w:val="-3"/>
          <w:w w:val="105"/>
          <w:szCs w:val="21"/>
          <w:highlight w:val="none"/>
        </w:rPr>
        <w:t>类不合格项的检查水平为</w:t>
      </w:r>
      <w:r>
        <w:rPr>
          <w:color w:val="auto"/>
          <w:spacing w:val="-3"/>
          <w:w w:val="105"/>
          <w:szCs w:val="21"/>
          <w:highlight w:val="none"/>
        </w:rPr>
        <w:t>S-4</w:t>
      </w:r>
      <w:r>
        <w:rPr>
          <w:rFonts w:hint="eastAsia"/>
          <w:color w:val="auto"/>
          <w:spacing w:val="-3"/>
          <w:w w:val="105"/>
          <w:szCs w:val="21"/>
          <w:highlight w:val="none"/>
        </w:rPr>
        <w:t>，</w:t>
      </w:r>
      <w:r>
        <w:rPr>
          <w:color w:val="auto"/>
          <w:spacing w:val="-3"/>
          <w:w w:val="105"/>
          <w:szCs w:val="21"/>
          <w:highlight w:val="none"/>
        </w:rPr>
        <w:t>AQL</w:t>
      </w:r>
      <w:r>
        <w:rPr>
          <w:rFonts w:hint="eastAsia"/>
          <w:color w:val="auto"/>
          <w:spacing w:val="-3"/>
          <w:w w:val="105"/>
          <w:szCs w:val="21"/>
          <w:highlight w:val="none"/>
        </w:rPr>
        <w:t>值为</w:t>
      </w:r>
      <w:r>
        <w:rPr>
          <w:color w:val="auto"/>
          <w:spacing w:val="-3"/>
          <w:w w:val="105"/>
          <w:szCs w:val="21"/>
          <w:highlight w:val="none"/>
        </w:rPr>
        <w:t>0.65</w:t>
      </w:r>
      <w:r>
        <w:rPr>
          <w:rFonts w:hint="eastAsia"/>
          <w:color w:val="auto"/>
          <w:spacing w:val="-3"/>
          <w:w w:val="105"/>
          <w:szCs w:val="21"/>
          <w:highlight w:val="none"/>
        </w:rPr>
        <w:t>，</w:t>
      </w:r>
      <w:r>
        <w:rPr>
          <w:color w:val="auto"/>
          <w:spacing w:val="-3"/>
          <w:w w:val="105"/>
          <w:szCs w:val="21"/>
          <w:highlight w:val="none"/>
        </w:rPr>
        <w:t>C</w:t>
      </w:r>
      <w:r>
        <w:rPr>
          <w:rFonts w:hint="eastAsia"/>
          <w:color w:val="auto"/>
          <w:spacing w:val="-3"/>
          <w:w w:val="105"/>
          <w:szCs w:val="21"/>
          <w:highlight w:val="none"/>
        </w:rPr>
        <w:t>类不合格项的检查水平为Ⅱ，</w:t>
      </w:r>
      <w:r>
        <w:rPr>
          <w:color w:val="auto"/>
          <w:spacing w:val="-3"/>
          <w:w w:val="105"/>
          <w:szCs w:val="21"/>
          <w:highlight w:val="none"/>
        </w:rPr>
        <w:t>AQL</w:t>
      </w:r>
      <w:r>
        <w:rPr>
          <w:rFonts w:hint="eastAsia"/>
          <w:color w:val="auto"/>
          <w:spacing w:val="-3"/>
          <w:w w:val="105"/>
          <w:szCs w:val="21"/>
          <w:highlight w:val="none"/>
        </w:rPr>
        <w:t>值为</w:t>
      </w:r>
      <w:r>
        <w:rPr>
          <w:color w:val="auto"/>
          <w:spacing w:val="-3"/>
          <w:w w:val="105"/>
          <w:szCs w:val="21"/>
          <w:highlight w:val="none"/>
        </w:rPr>
        <w:t>4.0</w:t>
      </w:r>
      <w:r>
        <w:rPr>
          <w:rFonts w:hint="eastAsia"/>
          <w:color w:val="auto"/>
          <w:spacing w:val="-3"/>
          <w:w w:val="105"/>
          <w:szCs w:val="21"/>
          <w:highlight w:val="none"/>
        </w:rPr>
        <w:t>。</w:t>
      </w:r>
    </w:p>
    <w:p>
      <w:pPr>
        <w:pStyle w:val="131"/>
        <w:widowControl w:val="0"/>
        <w:rPr>
          <w:color w:val="auto"/>
          <w:spacing w:val="-3"/>
          <w:w w:val="105"/>
          <w:szCs w:val="21"/>
          <w:highlight w:val="none"/>
        </w:rPr>
      </w:pPr>
      <w:r>
        <w:rPr>
          <w:rFonts w:hint="eastAsia"/>
          <w:color w:val="auto"/>
          <w:spacing w:val="-3"/>
          <w:w w:val="105"/>
          <w:szCs w:val="21"/>
          <w:highlight w:val="none"/>
        </w:rPr>
        <w:t>出厂检验后，经检验合格的样品可作为合格品交付订货方。</w:t>
      </w:r>
    </w:p>
    <w:p>
      <w:pPr>
        <w:pStyle w:val="119"/>
        <w:spacing w:before="156" w:after="156"/>
        <w:rPr>
          <w:rFonts w:hAnsi="黑体"/>
          <w:color w:val="auto"/>
          <w:w w:val="105"/>
          <w:highlight w:val="none"/>
        </w:rPr>
      </w:pPr>
      <w:r>
        <w:rPr>
          <w:rFonts w:hint="eastAsia" w:hAnsi="黑体"/>
          <w:color w:val="auto"/>
          <w:w w:val="105"/>
          <w:highlight w:val="none"/>
        </w:rPr>
        <w:t>型式检验</w:t>
      </w:r>
    </w:p>
    <w:p>
      <w:pPr>
        <w:pStyle w:val="131"/>
        <w:widowControl w:val="0"/>
        <w:rPr>
          <w:color w:val="auto"/>
          <w:w w:val="105"/>
          <w:szCs w:val="21"/>
          <w:highlight w:val="none"/>
        </w:rPr>
      </w:pPr>
      <w:r>
        <w:rPr>
          <w:rFonts w:hint="eastAsia"/>
          <w:color w:val="auto"/>
          <w:w w:val="105"/>
          <w:szCs w:val="21"/>
          <w:highlight w:val="none"/>
        </w:rPr>
        <w:t>有下列情况之一时，应进行型式检验：</w:t>
      </w:r>
      <w:r>
        <w:rPr>
          <w:color w:val="auto"/>
          <w:w w:val="105"/>
          <w:szCs w:val="21"/>
          <w:highlight w:val="none"/>
        </w:rPr>
        <w:t xml:space="preserve"> </w:t>
      </w:r>
    </w:p>
    <w:p>
      <w:pPr>
        <w:pStyle w:val="246"/>
        <w:numPr>
          <w:ilvl w:val="0"/>
          <w:numId w:val="25"/>
        </w:numPr>
        <w:jc w:val="left"/>
        <w:rPr>
          <w:color w:val="auto"/>
          <w:w w:val="105"/>
          <w:szCs w:val="21"/>
          <w:highlight w:val="none"/>
        </w:rPr>
      </w:pPr>
      <w:r>
        <w:rPr>
          <w:rFonts w:hint="eastAsia"/>
          <w:color w:val="auto"/>
          <w:w w:val="105"/>
          <w:szCs w:val="21"/>
          <w:highlight w:val="none"/>
        </w:rPr>
        <w:t>新产品或老产品转厂生产的试制定型鉴定时；</w:t>
      </w:r>
      <w:r>
        <w:rPr>
          <w:color w:val="auto"/>
          <w:w w:val="105"/>
          <w:szCs w:val="21"/>
          <w:highlight w:val="none"/>
        </w:rPr>
        <w:t xml:space="preserve"> </w:t>
      </w:r>
    </w:p>
    <w:p>
      <w:pPr>
        <w:pStyle w:val="246"/>
        <w:numPr>
          <w:ilvl w:val="0"/>
          <w:numId w:val="25"/>
        </w:numPr>
        <w:jc w:val="left"/>
        <w:rPr>
          <w:color w:val="auto"/>
          <w:w w:val="105"/>
          <w:szCs w:val="21"/>
          <w:highlight w:val="none"/>
        </w:rPr>
      </w:pPr>
      <w:r>
        <w:rPr>
          <w:rFonts w:hint="eastAsia"/>
          <w:color w:val="auto"/>
          <w:w w:val="105"/>
          <w:szCs w:val="21"/>
          <w:highlight w:val="none"/>
        </w:rPr>
        <w:t>正式生产后，如材料、工艺有较大改变，可能影响产品性能时；</w:t>
      </w:r>
      <w:r>
        <w:rPr>
          <w:color w:val="auto"/>
          <w:w w:val="105"/>
          <w:szCs w:val="21"/>
          <w:highlight w:val="none"/>
        </w:rPr>
        <w:t xml:space="preserve"> </w:t>
      </w:r>
    </w:p>
    <w:p>
      <w:pPr>
        <w:pStyle w:val="246"/>
        <w:numPr>
          <w:ilvl w:val="0"/>
          <w:numId w:val="25"/>
        </w:numPr>
        <w:jc w:val="left"/>
        <w:rPr>
          <w:color w:val="auto"/>
          <w:w w:val="105"/>
          <w:szCs w:val="21"/>
          <w:highlight w:val="none"/>
        </w:rPr>
      </w:pPr>
      <w:r>
        <w:rPr>
          <w:rFonts w:hint="eastAsia"/>
          <w:color w:val="auto"/>
          <w:w w:val="105"/>
          <w:szCs w:val="21"/>
          <w:highlight w:val="none"/>
        </w:rPr>
        <w:t>正常生产时，每年至少一次；</w:t>
      </w:r>
      <w:r>
        <w:rPr>
          <w:color w:val="auto"/>
          <w:w w:val="105"/>
          <w:szCs w:val="21"/>
          <w:highlight w:val="none"/>
        </w:rPr>
        <w:t xml:space="preserve"> </w:t>
      </w:r>
    </w:p>
    <w:p>
      <w:pPr>
        <w:pStyle w:val="246"/>
        <w:numPr>
          <w:ilvl w:val="0"/>
          <w:numId w:val="25"/>
        </w:numPr>
        <w:jc w:val="left"/>
        <w:rPr>
          <w:color w:val="auto"/>
          <w:w w:val="105"/>
          <w:szCs w:val="21"/>
          <w:highlight w:val="none"/>
        </w:rPr>
      </w:pPr>
      <w:r>
        <w:rPr>
          <w:rFonts w:hint="eastAsia"/>
          <w:color w:val="auto"/>
          <w:w w:val="105"/>
          <w:szCs w:val="21"/>
          <w:highlight w:val="none"/>
        </w:rPr>
        <w:t>停产半年以上，恢复生产时；</w:t>
      </w:r>
      <w:r>
        <w:rPr>
          <w:color w:val="auto"/>
          <w:w w:val="105"/>
          <w:szCs w:val="21"/>
          <w:highlight w:val="none"/>
        </w:rPr>
        <w:t xml:space="preserve"> </w:t>
      </w:r>
    </w:p>
    <w:p>
      <w:pPr>
        <w:pStyle w:val="246"/>
        <w:numPr>
          <w:ilvl w:val="0"/>
          <w:numId w:val="25"/>
        </w:numPr>
        <w:jc w:val="left"/>
        <w:rPr>
          <w:color w:val="auto"/>
          <w:w w:val="105"/>
          <w:szCs w:val="21"/>
          <w:highlight w:val="none"/>
        </w:rPr>
      </w:pPr>
      <w:r>
        <w:rPr>
          <w:rFonts w:hint="eastAsia"/>
          <w:color w:val="auto"/>
          <w:w w:val="105"/>
          <w:szCs w:val="21"/>
          <w:highlight w:val="none"/>
        </w:rPr>
        <w:t>出厂检验结果与上次型式检验有较大差异时。</w:t>
      </w:r>
    </w:p>
    <w:p>
      <w:pPr>
        <w:pStyle w:val="131"/>
        <w:widowControl w:val="0"/>
        <w:rPr>
          <w:color w:val="auto"/>
          <w:highlight w:val="none"/>
        </w:rPr>
      </w:pPr>
      <w:r>
        <w:rPr>
          <w:rFonts w:hint="eastAsia"/>
          <w:color w:val="auto"/>
          <w:highlight w:val="none"/>
        </w:rPr>
        <w:t>型式检验项目及其不合格分类按表7规定。</w:t>
      </w:r>
    </w:p>
    <w:p>
      <w:pPr>
        <w:pStyle w:val="208"/>
        <w:tabs>
          <w:tab w:val="left" w:pos="0"/>
        </w:tabs>
        <w:spacing w:before="156" w:after="156"/>
        <w:rPr>
          <w:color w:val="auto"/>
          <w:w w:val="105"/>
          <w:highlight w:val="none"/>
        </w:rPr>
      </w:pPr>
      <w:r>
        <w:rPr>
          <w:rFonts w:hint="eastAsia"/>
          <w:color w:val="auto"/>
          <w:w w:val="105"/>
          <w:highlight w:val="none"/>
        </w:rPr>
        <w:t>型式检验项目及其不合格分类</w:t>
      </w:r>
    </w:p>
    <w:tbl>
      <w:tblPr>
        <w:tblStyle w:val="18"/>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19"/>
        <w:gridCol w:w="2415"/>
        <w:gridCol w:w="1597"/>
        <w:gridCol w:w="1425"/>
        <w:gridCol w:w="758"/>
        <w:gridCol w:w="727"/>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single" w:color="auto" w:sz="12" w:space="0"/>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序号</w:t>
            </w:r>
          </w:p>
        </w:tc>
        <w:tc>
          <w:tcPr>
            <w:tcW w:w="3434" w:type="dxa"/>
            <w:gridSpan w:val="2"/>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检验项目</w:t>
            </w:r>
          </w:p>
        </w:tc>
        <w:tc>
          <w:tcPr>
            <w:tcW w:w="1597" w:type="dxa"/>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要求</w:t>
            </w:r>
          </w:p>
        </w:tc>
        <w:tc>
          <w:tcPr>
            <w:tcW w:w="1425" w:type="dxa"/>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试验方法</w:t>
            </w:r>
          </w:p>
        </w:tc>
        <w:tc>
          <w:tcPr>
            <w:tcW w:w="2235" w:type="dxa"/>
            <w:gridSpan w:val="3"/>
            <w:tcBorders>
              <w:top w:val="single" w:color="auto" w:sz="12"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787" w:type="dxa"/>
            <w:vMerge w:val="continue"/>
            <w:tcBorders>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3434" w:type="dxa"/>
            <w:gridSpan w:val="2"/>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597" w:type="dxa"/>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425" w:type="dxa"/>
            <w:vMerge w:val="continue"/>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8" w:type="dxa"/>
            <w:tcBorders>
              <w:top w:val="single" w:color="auto" w:sz="12"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A</w:t>
            </w:r>
          </w:p>
        </w:tc>
        <w:tc>
          <w:tcPr>
            <w:tcW w:w="727" w:type="dxa"/>
            <w:tcBorders>
              <w:top w:val="single" w:color="auto" w:sz="12"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B</w:t>
            </w:r>
          </w:p>
        </w:tc>
        <w:tc>
          <w:tcPr>
            <w:tcW w:w="750" w:type="dxa"/>
            <w:tcBorders>
              <w:top w:val="single" w:color="auto" w:sz="12"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w:t>
            </w:r>
          </w:p>
        </w:tc>
        <w:tc>
          <w:tcPr>
            <w:tcW w:w="343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外观</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5.1</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6.2</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2</w:t>
            </w:r>
          </w:p>
        </w:tc>
        <w:tc>
          <w:tcPr>
            <w:tcW w:w="343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总有效容积</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5.2</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6.3</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87"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3</w:t>
            </w:r>
          </w:p>
        </w:tc>
        <w:tc>
          <w:tcPr>
            <w:tcW w:w="343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展示面积</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5.3</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6.4</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87" w:type="dxa"/>
            <w:vMerge w:val="restart"/>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4</w:t>
            </w:r>
          </w:p>
        </w:tc>
        <w:tc>
          <w:tcPr>
            <w:tcW w:w="101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制冷性能</w:t>
            </w: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温度</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5.4.1</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6.5.1</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启动性能</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5.4.2</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6.5.2</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电压变动</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5.4.3</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6.5.3</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半载降温试验</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5.4.4</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6.5.4</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水蒸气凝结</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5.4.5</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6.5.5</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开门试验</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5.4.6</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6.5.6</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蒸发器结霜</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5.4.7</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6.5.7</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耗电量、能效指数</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5.4.8</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6.5.8</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restart"/>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w:t>
            </w:r>
          </w:p>
        </w:tc>
        <w:tc>
          <w:tcPr>
            <w:tcW w:w="101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噪声、振动</w:t>
            </w: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噪声</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5.5.1</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6.6.1</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振动</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5.5.2</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6.6.2</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restart"/>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w:t>
            </w:r>
          </w:p>
        </w:tc>
        <w:tc>
          <w:tcPr>
            <w:tcW w:w="101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密封性能</w:t>
            </w: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门和盖的密封试验</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5.6.1</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6.7.1</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制冷系统密封性能</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5.6.2</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6.7.2</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restart"/>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7</w:t>
            </w:r>
          </w:p>
        </w:tc>
        <w:tc>
          <w:tcPr>
            <w:tcW w:w="101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安全卫生</w:t>
            </w: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电气安全</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5.7.1</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6.8.1</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电磁兼容</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5.7.2</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6.8.2</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与食品接触材料安全</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5.7.3</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6.8.3</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抗菌</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5.7.4</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6.8.4</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restart"/>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8</w:t>
            </w:r>
          </w:p>
        </w:tc>
        <w:tc>
          <w:tcPr>
            <w:tcW w:w="101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环保性能</w:t>
            </w: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限用物质</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5.8.1</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6.9.1</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01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241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制冷剂类型</w:t>
            </w:r>
          </w:p>
        </w:tc>
        <w:tc>
          <w:tcPr>
            <w:tcW w:w="159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5.8.2</w:t>
            </w:r>
          </w:p>
        </w:tc>
        <w:tc>
          <w:tcPr>
            <w:tcW w:w="142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6.9.2</w:t>
            </w:r>
          </w:p>
        </w:tc>
        <w:tc>
          <w:tcPr>
            <w:tcW w:w="758"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9</w:t>
            </w:r>
          </w:p>
        </w:tc>
        <w:tc>
          <w:tcPr>
            <w:tcW w:w="3434" w:type="dxa"/>
            <w:gridSpan w:val="2"/>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智能化功能</w:t>
            </w:r>
          </w:p>
        </w:tc>
        <w:tc>
          <w:tcPr>
            <w:tcW w:w="1597"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5.9</w:t>
            </w:r>
          </w:p>
        </w:tc>
        <w:tc>
          <w:tcPr>
            <w:tcW w:w="1425"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6.10</w:t>
            </w:r>
          </w:p>
        </w:tc>
        <w:tc>
          <w:tcPr>
            <w:tcW w:w="758"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727"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w:t>
            </w:r>
          </w:p>
        </w:tc>
        <w:tc>
          <w:tcPr>
            <w:tcW w:w="750"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r>
    </w:tbl>
    <w:p>
      <w:pPr>
        <w:pStyle w:val="131"/>
        <w:widowControl w:val="0"/>
        <w:rPr>
          <w:color w:val="auto"/>
          <w:highlight w:val="none"/>
        </w:rPr>
      </w:pPr>
      <w:r>
        <w:rPr>
          <w:rFonts w:hint="eastAsia"/>
          <w:color w:val="auto"/>
          <w:highlight w:val="none"/>
        </w:rPr>
        <w:t>型式检验抽样按</w:t>
      </w:r>
      <w:r>
        <w:rPr>
          <w:color w:val="auto"/>
          <w:highlight w:val="none"/>
        </w:rPr>
        <w:t>GB/T 2829</w:t>
      </w:r>
      <w:r>
        <w:rPr>
          <w:rFonts w:hint="eastAsia"/>
          <w:color w:val="auto"/>
          <w:highlight w:val="none"/>
        </w:rPr>
        <w:t>规定进行，采用判别水平</w:t>
      </w:r>
      <w:r>
        <w:rPr>
          <w:rFonts w:hint="eastAsia" w:cs="宋体"/>
          <w:color w:val="auto"/>
          <w:highlight w:val="none"/>
        </w:rPr>
        <w:t>Ⅰ</w:t>
      </w:r>
      <w:r>
        <w:rPr>
          <w:rFonts w:hint="eastAsia"/>
          <w:color w:val="auto"/>
          <w:highlight w:val="none"/>
        </w:rPr>
        <w:t>的一次抽样方案，样本大小和不合格质</w:t>
      </w:r>
    </w:p>
    <w:p>
      <w:pPr>
        <w:pStyle w:val="131"/>
        <w:widowControl w:val="0"/>
        <w:numPr>
          <w:ilvl w:val="2"/>
          <w:numId w:val="0"/>
        </w:numPr>
        <w:rPr>
          <w:color w:val="auto"/>
          <w:highlight w:val="none"/>
        </w:rPr>
      </w:pPr>
      <w:r>
        <w:rPr>
          <w:rFonts w:hint="eastAsia"/>
          <w:color w:val="auto"/>
          <w:highlight w:val="none"/>
        </w:rPr>
        <w:t>量水平按表8的规定。</w:t>
      </w:r>
    </w:p>
    <w:p>
      <w:pPr>
        <w:pStyle w:val="208"/>
        <w:tabs>
          <w:tab w:val="left" w:pos="0"/>
        </w:tabs>
        <w:spacing w:before="156" w:after="156"/>
        <w:rPr>
          <w:color w:val="auto"/>
          <w:w w:val="105"/>
          <w:highlight w:val="none"/>
        </w:rPr>
      </w:pPr>
      <w:r>
        <w:rPr>
          <w:rFonts w:hint="eastAsia"/>
          <w:color w:val="auto"/>
          <w:w w:val="105"/>
          <w:highlight w:val="none"/>
        </w:rPr>
        <w:t>型式检验样本大小和不合格质量水平</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1380"/>
        <w:gridCol w:w="1492"/>
        <w:gridCol w:w="893"/>
        <w:gridCol w:w="893"/>
        <w:gridCol w:w="893"/>
        <w:gridCol w:w="893"/>
        <w:gridCol w:w="893"/>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Merge w:val="restart"/>
            <w:tcBorders>
              <w:top w:val="single" w:color="auto" w:sz="12" w:space="0"/>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判别水平</w:t>
            </w:r>
          </w:p>
        </w:tc>
        <w:tc>
          <w:tcPr>
            <w:tcW w:w="1380" w:type="dxa"/>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抽样方案</w:t>
            </w:r>
          </w:p>
        </w:tc>
        <w:tc>
          <w:tcPr>
            <w:tcW w:w="1492" w:type="dxa"/>
            <w:vMerge w:val="restart"/>
            <w:tcBorders>
              <w:top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样本大小</w:t>
            </w:r>
          </w:p>
        </w:tc>
        <w:tc>
          <w:tcPr>
            <w:tcW w:w="5358" w:type="dxa"/>
            <w:gridSpan w:val="6"/>
            <w:tcBorders>
              <w:top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不合格质量水平（RQL)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380"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492"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786"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A类（RQL=30）</w:t>
            </w:r>
          </w:p>
        </w:tc>
        <w:tc>
          <w:tcPr>
            <w:tcW w:w="1786"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B类（RQL=65）</w:t>
            </w:r>
          </w:p>
        </w:tc>
        <w:tc>
          <w:tcPr>
            <w:tcW w:w="1786" w:type="dxa"/>
            <w:gridSpan w:val="2"/>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C类（RQL=100）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vMerge w:val="continue"/>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380"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1492"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p>
        </w:tc>
        <w:tc>
          <w:tcPr>
            <w:tcW w:w="89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Ac</w:t>
            </w:r>
          </w:p>
        </w:tc>
        <w:tc>
          <w:tcPr>
            <w:tcW w:w="89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Rc</w:t>
            </w:r>
          </w:p>
        </w:tc>
        <w:tc>
          <w:tcPr>
            <w:tcW w:w="89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Ac</w:t>
            </w:r>
          </w:p>
        </w:tc>
        <w:tc>
          <w:tcPr>
            <w:tcW w:w="89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Rc</w:t>
            </w:r>
          </w:p>
        </w:tc>
        <w:tc>
          <w:tcPr>
            <w:tcW w:w="89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Ac</w:t>
            </w:r>
          </w:p>
        </w:tc>
        <w:tc>
          <w:tcPr>
            <w:tcW w:w="893"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tcBorders>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Ⅰ</w:t>
            </w:r>
          </w:p>
        </w:tc>
        <w:tc>
          <w:tcPr>
            <w:tcW w:w="1380"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一次</w:t>
            </w:r>
          </w:p>
        </w:tc>
        <w:tc>
          <w:tcPr>
            <w:tcW w:w="1492"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n=3</w:t>
            </w:r>
          </w:p>
        </w:tc>
        <w:tc>
          <w:tcPr>
            <w:tcW w:w="893"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0</w:t>
            </w:r>
          </w:p>
        </w:tc>
        <w:tc>
          <w:tcPr>
            <w:tcW w:w="893"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w:t>
            </w:r>
          </w:p>
        </w:tc>
        <w:tc>
          <w:tcPr>
            <w:tcW w:w="893"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1</w:t>
            </w:r>
          </w:p>
        </w:tc>
        <w:tc>
          <w:tcPr>
            <w:tcW w:w="893"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2</w:t>
            </w:r>
          </w:p>
        </w:tc>
        <w:tc>
          <w:tcPr>
            <w:tcW w:w="893" w:type="dxa"/>
            <w:tcBorders>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2</w:t>
            </w:r>
          </w:p>
        </w:tc>
        <w:tc>
          <w:tcPr>
            <w:tcW w:w="893"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jc w:val="center"/>
              <w:textAlignment w:val="auto"/>
              <w:rPr>
                <w:rFonts w:hAnsi="宋体"/>
                <w:color w:val="auto"/>
                <w:sz w:val="18"/>
                <w:szCs w:val="18"/>
                <w:highlight w:val="none"/>
              </w:rPr>
            </w:pPr>
            <w:r>
              <w:rPr>
                <w:rFonts w:hint="eastAsia" w:hAnsi="宋体"/>
                <w:color w:val="auto"/>
                <w:sz w:val="18"/>
                <w:szCs w:val="18"/>
                <w:highlight w:val="none"/>
              </w:rPr>
              <w:t>3</w:t>
            </w:r>
          </w:p>
        </w:tc>
      </w:tr>
    </w:tbl>
    <w:p>
      <w:pPr>
        <w:pStyle w:val="131"/>
        <w:widowControl w:val="0"/>
        <w:rPr>
          <w:color w:val="auto"/>
          <w:highlight w:val="none"/>
        </w:rPr>
      </w:pPr>
      <w:r>
        <w:rPr>
          <w:rFonts w:hint="eastAsia"/>
          <w:color w:val="auto"/>
          <w:highlight w:val="none"/>
        </w:rPr>
        <w:t>型式检验的样本应从出厂检验合格的成品中随机抽取。</w:t>
      </w:r>
    </w:p>
    <w:p>
      <w:pPr>
        <w:pStyle w:val="117"/>
        <w:spacing w:before="312" w:after="312"/>
        <w:rPr>
          <w:rFonts w:hAnsi="黑体"/>
          <w:color w:val="auto"/>
          <w:highlight w:val="none"/>
        </w:rPr>
      </w:pPr>
      <w:r>
        <w:rPr>
          <w:rFonts w:hint="eastAsia" w:hAnsi="黑体"/>
          <w:color w:val="auto"/>
          <w:highlight w:val="none"/>
        </w:rPr>
        <w:t>标志、产品说明、包装、运输和贮存</w:t>
      </w:r>
    </w:p>
    <w:p>
      <w:pPr>
        <w:pStyle w:val="119"/>
        <w:spacing w:before="156" w:after="156"/>
        <w:rPr>
          <w:rFonts w:hAnsi="黑体"/>
          <w:color w:val="auto"/>
          <w:w w:val="105"/>
          <w:highlight w:val="none"/>
        </w:rPr>
      </w:pPr>
      <w:r>
        <w:rPr>
          <w:rFonts w:hint="eastAsia" w:hAnsi="黑体"/>
          <w:color w:val="auto"/>
          <w:w w:val="105"/>
          <w:highlight w:val="none"/>
        </w:rPr>
        <w:t>标志</w:t>
      </w:r>
    </w:p>
    <w:p>
      <w:pPr>
        <w:ind w:firstLine="420" w:firstLineChars="200"/>
        <w:rPr>
          <w:color w:val="auto"/>
          <w:highlight w:val="none"/>
        </w:rPr>
      </w:pPr>
      <w:r>
        <w:rPr>
          <w:rFonts w:hint="eastAsia"/>
          <w:color w:val="auto"/>
          <w:highlight w:val="none"/>
        </w:rPr>
        <w:t>按GB/T 21001.2-2015中7.1、7.2规定进行。</w:t>
      </w:r>
    </w:p>
    <w:p>
      <w:pPr>
        <w:pStyle w:val="119"/>
        <w:spacing w:before="156" w:after="156"/>
        <w:rPr>
          <w:rFonts w:hAnsi="黑体"/>
          <w:color w:val="auto"/>
          <w:w w:val="105"/>
          <w:highlight w:val="none"/>
        </w:rPr>
      </w:pPr>
      <w:r>
        <w:rPr>
          <w:rFonts w:hint="eastAsia" w:hAnsi="黑体"/>
          <w:color w:val="auto"/>
          <w:w w:val="105"/>
          <w:highlight w:val="none"/>
        </w:rPr>
        <w:t>产品说明</w:t>
      </w:r>
    </w:p>
    <w:p>
      <w:pPr>
        <w:pStyle w:val="23"/>
        <w:ind w:firstLine="420"/>
        <w:rPr>
          <w:color w:val="auto"/>
          <w:highlight w:val="none"/>
        </w:rPr>
      </w:pPr>
      <w:r>
        <w:rPr>
          <w:rFonts w:hint="eastAsia"/>
          <w:color w:val="auto"/>
          <w:highlight w:val="none"/>
        </w:rPr>
        <w:t>按GB/T 21001.2-2015中7.1、7.3和</w:t>
      </w:r>
      <w:r>
        <w:rPr>
          <w:color w:val="auto"/>
          <w:highlight w:val="none"/>
        </w:rPr>
        <w:t>SB/T 10794.</w:t>
      </w:r>
      <w:r>
        <w:rPr>
          <w:rFonts w:hint="eastAsia"/>
          <w:color w:val="auto"/>
          <w:highlight w:val="none"/>
        </w:rPr>
        <w:t>3</w:t>
      </w:r>
      <w:bookmarkStart w:id="29" w:name="OLE_LINK3"/>
      <w:r>
        <w:rPr>
          <w:rFonts w:hint="eastAsia"/>
          <w:color w:val="auto"/>
          <w:highlight w:val="none"/>
        </w:rPr>
        <w:t>—</w:t>
      </w:r>
      <w:bookmarkEnd w:id="29"/>
      <w:r>
        <w:rPr>
          <w:color w:val="auto"/>
          <w:highlight w:val="none"/>
        </w:rPr>
        <w:t>2012</w:t>
      </w:r>
      <w:r>
        <w:rPr>
          <w:rFonts w:hint="eastAsia"/>
          <w:color w:val="auto"/>
          <w:highlight w:val="none"/>
        </w:rPr>
        <w:t>中</w:t>
      </w:r>
      <w:r>
        <w:rPr>
          <w:color w:val="auto"/>
          <w:highlight w:val="none"/>
        </w:rPr>
        <w:t>7.3</w:t>
      </w:r>
      <w:r>
        <w:rPr>
          <w:rFonts w:hint="eastAsia"/>
          <w:color w:val="auto"/>
          <w:highlight w:val="none"/>
        </w:rPr>
        <w:t>的规定进行。</w:t>
      </w:r>
    </w:p>
    <w:p>
      <w:pPr>
        <w:pStyle w:val="119"/>
        <w:spacing w:before="156" w:after="156"/>
        <w:rPr>
          <w:rFonts w:hAnsi="黑体"/>
          <w:color w:val="auto"/>
          <w:w w:val="105"/>
          <w:highlight w:val="none"/>
        </w:rPr>
      </w:pPr>
      <w:r>
        <w:rPr>
          <w:rFonts w:hint="eastAsia" w:hAnsi="黑体"/>
          <w:color w:val="auto"/>
          <w:w w:val="105"/>
          <w:highlight w:val="none"/>
        </w:rPr>
        <w:t>包装、运输和贮存</w:t>
      </w:r>
    </w:p>
    <w:p>
      <w:pPr>
        <w:ind w:firstLine="420" w:firstLineChars="200"/>
        <w:rPr>
          <w:color w:val="auto"/>
          <w:highlight w:val="none"/>
        </w:rPr>
      </w:pPr>
      <w:r>
        <w:rPr>
          <w:rFonts w:hint="eastAsia"/>
          <w:color w:val="auto"/>
          <w:highlight w:val="none"/>
        </w:rPr>
        <w:t>按</w:t>
      </w:r>
      <w:r>
        <w:rPr>
          <w:color w:val="auto"/>
          <w:highlight w:val="none"/>
        </w:rPr>
        <w:t>SB/T 10794.</w:t>
      </w:r>
      <w:r>
        <w:rPr>
          <w:rFonts w:hint="eastAsia"/>
          <w:color w:val="auto"/>
          <w:highlight w:val="none"/>
        </w:rPr>
        <w:t>3—</w:t>
      </w:r>
      <w:r>
        <w:rPr>
          <w:color w:val="auto"/>
          <w:highlight w:val="none"/>
        </w:rPr>
        <w:t>2012</w:t>
      </w:r>
      <w:r>
        <w:rPr>
          <w:rFonts w:hint="eastAsia"/>
          <w:color w:val="auto"/>
          <w:highlight w:val="none"/>
        </w:rPr>
        <w:t>中</w:t>
      </w:r>
      <w:r>
        <w:rPr>
          <w:color w:val="auto"/>
          <w:highlight w:val="none"/>
        </w:rPr>
        <w:t>7.4</w:t>
      </w:r>
      <w:r>
        <w:rPr>
          <w:rFonts w:hint="eastAsia"/>
          <w:color w:val="auto"/>
          <w:highlight w:val="none"/>
        </w:rPr>
        <w:t>的规定进行。</w:t>
      </w:r>
    </w:p>
    <w:p>
      <w:pPr>
        <w:pStyle w:val="117"/>
        <w:spacing w:before="312" w:after="312"/>
        <w:rPr>
          <w:color w:val="auto"/>
          <w:highlight w:val="none"/>
        </w:rPr>
      </w:pPr>
      <w:r>
        <w:rPr>
          <w:rFonts w:hint="eastAsia"/>
          <w:color w:val="auto"/>
          <w:highlight w:val="none"/>
        </w:rPr>
        <w:t>质量承诺</w:t>
      </w:r>
    </w:p>
    <w:p>
      <w:pPr>
        <w:pStyle w:val="119"/>
        <w:spacing w:beforeLines="0" w:afterLines="0"/>
        <w:rPr>
          <w:rFonts w:ascii="宋体" w:hAnsi="宋体" w:eastAsia="宋体" w:cs="宋体"/>
          <w:color w:val="auto"/>
          <w:highlight w:val="none"/>
        </w:rPr>
      </w:pPr>
      <w:r>
        <w:rPr>
          <w:rFonts w:hint="eastAsia" w:ascii="宋体" w:hAnsi="宋体" w:eastAsia="宋体" w:cs="宋体"/>
          <w:color w:val="auto"/>
          <w:highlight w:val="none"/>
        </w:rPr>
        <w:t>用户在遵守制冷陈列柜使用说明书规定的操作条件下，自购买制冷陈列柜之日起，制冷陈列柜质保期24个月。质保期间若因质量问题造成制冷陈列柜故障的，制造商应负责免费维修。</w:t>
      </w:r>
    </w:p>
    <w:p>
      <w:pPr>
        <w:pStyle w:val="119"/>
        <w:spacing w:beforeLines="0" w:afterLines="0"/>
        <w:jc w:val="left"/>
        <w:rPr>
          <w:rFonts w:ascii="宋体" w:hAnsi="宋体" w:eastAsia="宋体" w:cs="宋体"/>
          <w:color w:val="auto"/>
          <w:highlight w:val="none"/>
        </w:rPr>
      </w:pPr>
      <w:r>
        <w:rPr>
          <w:rFonts w:hint="eastAsia" w:ascii="宋体" w:hAnsi="宋体" w:eastAsia="宋体" w:cs="宋体"/>
          <w:color w:val="auto"/>
          <w:highlight w:val="none"/>
        </w:rPr>
        <w:t>如因操作不当或外部不可抗拒的因素所造成的非质量问题导致制冷陈列柜故障，或超过质保期的，制造商应提供售后服务。</w:t>
      </w:r>
    </w:p>
    <w:p>
      <w:pPr>
        <w:pStyle w:val="119"/>
        <w:spacing w:beforeLines="0" w:afterLines="0"/>
        <w:jc w:val="left"/>
        <w:rPr>
          <w:rFonts w:ascii="宋体" w:hAnsi="宋体" w:eastAsia="宋体" w:cs="宋体"/>
          <w:color w:val="auto"/>
          <w:highlight w:val="none"/>
        </w:rPr>
      </w:pPr>
      <w:r>
        <w:rPr>
          <w:rFonts w:hint="eastAsia" w:ascii="宋体" w:hAnsi="宋体" w:eastAsia="宋体" w:cs="宋体"/>
          <w:color w:val="auto"/>
          <w:highlight w:val="none"/>
        </w:rPr>
        <w:t>应在24 h内对客户诉求做出响应。</w:t>
      </w:r>
      <w:r>
        <w:rPr>
          <w:color w:val="auto"/>
          <w:highlight w:val="none"/>
        </w:rPr>
        <mc:AlternateContent>
          <mc:Choice Requires="wps">
            <w:drawing>
              <wp:anchor distT="0" distB="0" distL="0" distR="0" simplePos="0" relativeHeight="251659264" behindDoc="0" locked="0" layoutInCell="0" allowOverlap="1">
                <wp:simplePos x="0" y="0"/>
                <wp:positionH relativeFrom="page">
                  <wp:posOffset>3048635</wp:posOffset>
                </wp:positionH>
                <wp:positionV relativeFrom="paragraph">
                  <wp:posOffset>494665</wp:posOffset>
                </wp:positionV>
                <wp:extent cx="1464945" cy="12700"/>
                <wp:effectExtent l="0" t="0" r="0" b="0"/>
                <wp:wrapTopAndBottom/>
                <wp:docPr id="5" name="Freeform 10"/>
                <wp:cNvGraphicFramePr/>
                <a:graphic xmlns:a="http://schemas.openxmlformats.org/drawingml/2006/main">
                  <a:graphicData uri="http://schemas.microsoft.com/office/word/2010/wordprocessingShape">
                    <wps:wsp>
                      <wps:cNvSpPr/>
                      <wps:spPr bwMode="auto">
                        <a:xfrm>
                          <a:off x="0" y="0"/>
                          <a:ext cx="1464945" cy="12700"/>
                        </a:xfrm>
                        <a:custGeom>
                          <a:avLst/>
                          <a:gdLst>
                            <a:gd name="T0" fmla="*/ 0 w 2307"/>
                            <a:gd name="T1" fmla="*/ 0 h 20"/>
                            <a:gd name="T2" fmla="*/ 2307 w 2307"/>
                            <a:gd name="T3" fmla="*/ 0 h 20"/>
                          </a:gdLst>
                          <a:ahLst/>
                          <a:cxnLst>
                            <a:cxn ang="0">
                              <a:pos x="T0" y="T1"/>
                            </a:cxn>
                            <a:cxn ang="0">
                              <a:pos x="T2" y="T3"/>
                            </a:cxn>
                          </a:cxnLst>
                          <a:rect l="0" t="0" r="r" b="b"/>
                          <a:pathLst>
                            <a:path w="2307" h="20">
                              <a:moveTo>
                                <a:pt x="0" y="0"/>
                              </a:moveTo>
                              <a:lnTo>
                                <a:pt x="2307" y="0"/>
                              </a:lnTo>
                            </a:path>
                          </a:pathLst>
                        </a:cu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Freeform 10" o:spid="_x0000_s1026" o:spt="100" style="position:absolute;left:0pt;margin-left:240.05pt;margin-top:38.95pt;height:1pt;width:115.35pt;mso-position-horizontal-relative:page;mso-wrap-distance-bottom:0pt;mso-wrap-distance-top:0pt;z-index:251659264;mso-width-relative:page;mso-height-relative:page;" filled="f" stroked="t" coordsize="2307,20" o:allowincell="f" o:gfxdata="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LfEVTjZAAAACQEAAA8AAAAAAAAAAQAgAAAAIgAAAGRycy9kb3ducmV2LnhtbFBLAQIUABQA&#10;AAAIAIdO4kCYZCTYmgIAAMMFAAAOAAAAAAAAAAEAIAAAACgBAABkcnMvZTJvRG9jLnhtbFBLBQYA&#10;AAAABgAGAFkBAAA0BgAAAAA=&#10;" path="m0,0l2307,0e">
                <v:path o:connectlocs="0,0;1464945,0" o:connectangles="0,0"/>
                <v:fill on="f" focussize="0,0"/>
                <v:stroke weight="1.25pt" color="#000000" joinstyle="round"/>
                <v:imagedata o:title=""/>
                <o:lock v:ext="edit" aspectratio="f"/>
                <w10:wrap type="topAndBottom"/>
              </v:shape>
            </w:pict>
          </mc:Fallback>
        </mc:AlternateContent>
      </w:r>
    </w:p>
    <w:p>
      <w:pPr>
        <w:pStyle w:val="23"/>
        <w:ind w:firstLine="0" w:firstLineChars="0"/>
        <w:rPr>
          <w:color w:val="auto"/>
          <w:highlight w:val="none"/>
        </w:rPr>
      </w:pPr>
    </w:p>
    <w:sectPr>
      <w:footerReference r:id="rId6" w:type="default"/>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insoku w:val="0"/>
      <w:overflowPunct w:val="0"/>
      <w:spacing w:line="14" w:lineRule="auto"/>
      <w:rPr>
        <w:rFonts w:ascii="Times New Roman" w:eastAsiaTheme="minorEastAsia"/>
        <w:sz w:val="20"/>
        <w:szCs w:val="20"/>
      </w:rPr>
    </w:pPr>
    <w:r>
      <mc:AlternateContent>
        <mc:Choice Requires="wps">
          <w:drawing>
            <wp:anchor distT="0" distB="0" distL="114300" distR="114300" simplePos="0" relativeHeight="251660288" behindDoc="1" locked="0" layoutInCell="0" allowOverlap="1">
              <wp:simplePos x="0" y="0"/>
              <wp:positionH relativeFrom="page">
                <wp:posOffset>6703060</wp:posOffset>
              </wp:positionH>
              <wp:positionV relativeFrom="page">
                <wp:posOffset>10010775</wp:posOffset>
              </wp:positionV>
              <wp:extent cx="167005" cy="152400"/>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4</w:t>
                          </w:r>
                          <w:r>
                            <w:rPr>
                              <w:rFonts w:ascii="Times New Roman" w:eastAsiaTheme="minorEastAsia"/>
                              <w:sz w:val="18"/>
                              <w:szCs w:val="18"/>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527.8pt;margin-top:788.25pt;height:12pt;width:13.15pt;mso-position-horizontal-relative:page;mso-position-vertical-relative:page;z-index:-251656192;mso-width-relative:page;mso-height-relative:page;" filled="f" stroked="f" coordsize="21600,21600" o:allowincell="f" o:gfxdata="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CoO6dsAAAAPAQAADwAAAAAAAAABACAAAAAiAAAAZHJzL2Rvd25y&#10;ZXYueG1sUEsBAhQAFAAAAAgAh07iQLRQMsX7AQAAAwQAAA4AAAAAAAAAAQAgAAAAKgEAAGRycy9l&#10;Mm9Eb2MueG1sUEsFBgAAAAAGAAYAWQEAAJcFAAAAAA==&#10;">
              <v:fill on="f" focussize="0,0"/>
              <v:stroke on="f"/>
              <v:imagedata o:title=""/>
              <o:lock v:ext="edit" aspectratio="f"/>
              <v:textbox inset="0mm,0mm,0mm,0mm">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4</w:t>
                    </w:r>
                    <w:r>
                      <w:rPr>
                        <w:rFonts w:ascii="Times New Roman" w:eastAsiaTheme="minorEastAsia"/>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w:t>
    </w:r>
    <w:r>
      <w:rPr>
        <w:rFonts w:hint="eastAsia"/>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4">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7">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8">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9">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0">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1">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2">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3">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4">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5">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63FEF917"/>
    <w:multiLevelType w:val="multilevel"/>
    <w:tmpl w:val="63FEF91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63FEF959"/>
    <w:multiLevelType w:val="multilevel"/>
    <w:tmpl w:val="63FEF95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9">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0">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426" w:firstLine="0"/>
      </w:pPr>
      <w:rPr>
        <w:rFonts w:hint="eastAsia" w:ascii="黑体" w:hAnsi="黑体" w:eastAsia="黑体"/>
        <w:sz w:val="20"/>
      </w:rPr>
    </w:lvl>
    <w:lvl w:ilvl="2" w:tentative="0">
      <w:start w:val="1"/>
      <w:numFmt w:val="decimal"/>
      <w:pStyle w:val="121"/>
      <w:suff w:val="nothing"/>
      <w:lvlText w:val="%1.%2.%3　"/>
      <w:lvlJc w:val="left"/>
      <w:pPr>
        <w:ind w:left="0"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1">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2">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0"/>
  </w:num>
  <w:num w:numId="2">
    <w:abstractNumId w:val="20"/>
    <w:lvlOverride w:ilvl="0">
      <w:lvl w:ilvl="0" w:tentative="1">
        <w:start w:val="1"/>
        <w:numFmt w:val="decimal"/>
        <w:suff w:val="nothing"/>
        <w:lvlText w:val="%1　"/>
        <w:lvlJc w:val="left"/>
        <w:pPr>
          <w:ind w:left="665"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19"/>
  </w:num>
  <w:num w:numId="4">
    <w:abstractNumId w:val="21"/>
  </w:num>
  <w:num w:numId="5">
    <w:abstractNumId w:val="11"/>
  </w:num>
  <w:num w:numId="6">
    <w:abstractNumId w:val="3"/>
  </w:num>
  <w:num w:numId="7">
    <w:abstractNumId w:val="8"/>
  </w:num>
  <w:num w:numId="8">
    <w:abstractNumId w:val="7"/>
  </w:num>
  <w:num w:numId="9">
    <w:abstractNumId w:val="9"/>
  </w:num>
  <w:num w:numId="10">
    <w:abstractNumId w:val="22"/>
  </w:num>
  <w:num w:numId="11">
    <w:abstractNumId w:val="13"/>
  </w:num>
  <w:num w:numId="12">
    <w:abstractNumId w:val="1"/>
  </w:num>
  <w:num w:numId="13">
    <w:abstractNumId w:val="20"/>
  </w:num>
  <w:num w:numId="14">
    <w:abstractNumId w:val="5"/>
  </w:num>
  <w:num w:numId="15">
    <w:abstractNumId w:val="6"/>
  </w:num>
  <w:num w:numId="16">
    <w:abstractNumId w:val="14"/>
  </w:num>
  <w:num w:numId="17">
    <w:abstractNumId w:val="0"/>
  </w:num>
  <w:num w:numId="18">
    <w:abstractNumId w:val="4"/>
  </w:num>
  <w:num w:numId="19">
    <w:abstractNumId w:val="12"/>
  </w:num>
  <w:num w:numId="20">
    <w:abstractNumId w:val="2"/>
  </w:num>
  <w:num w:numId="21">
    <w:abstractNumId w:val="18"/>
  </w:num>
  <w:num w:numId="22">
    <w:abstractNumId w:val="15"/>
  </w:num>
  <w:num w:numId="23">
    <w:abstractNumId w:val="20"/>
    <w:lvlOverride w:ilvl="0">
      <w:lvl w:ilvl="0" w:tentative="1">
        <w:start w:val="1"/>
        <w:numFmt w:val="decimal"/>
        <w:suff w:val="nothing"/>
        <w:lvlText w:val="%1　"/>
        <w:lvlJc w:val="left"/>
        <w:pPr>
          <w:ind w:left="665"/>
        </w:pPr>
        <w:rPr>
          <w:rFonts w:hint="eastAsia" w:ascii="黑体" w:hAnsi="黑体" w:eastAsia="黑体" w:cs="Times New Roman"/>
          <w:sz w:val="20"/>
        </w:rPr>
      </w:lvl>
    </w:lvlOverride>
    <w:lvlOverride w:ilvl="1">
      <w:lvl w:ilvl="1" w:tentative="1">
        <w:start w:val="1"/>
        <w:numFmt w:val="decimal"/>
        <w:suff w:val="nothing"/>
        <w:lvlText w:val="%1.%2　"/>
        <w:lvlJc w:val="left"/>
        <w:rPr>
          <w:rFonts w:hint="eastAsia" w:ascii="黑体" w:hAnsi="黑体" w:eastAsia="黑体" w:cs="Times New Roman"/>
          <w:sz w:val="20"/>
        </w:rPr>
      </w:lvl>
    </w:lvlOverride>
    <w:lvlOverride w:ilvl="2">
      <w:lvl w:ilvl="2" w:tentative="1">
        <w:start w:val="1"/>
        <w:numFmt w:val="decimal"/>
        <w:suff w:val="nothing"/>
        <w:lvlText w:val="%1.%2.%3　"/>
        <w:lvlJc w:val="left"/>
        <w:rPr>
          <w:rFonts w:hint="eastAsia" w:ascii="黑体" w:hAnsi="黑体" w:eastAsia="黑体" w:cs="Times New Roman"/>
          <w:sz w:val="20"/>
        </w:rPr>
      </w:lvl>
    </w:lvlOverride>
    <w:lvlOverride w:ilvl="3">
      <w:lvl w:ilvl="3" w:tentative="1">
        <w:start w:val="1"/>
        <w:numFmt w:val="decimal"/>
        <w:suff w:val="nothing"/>
        <w:lvlText w:val="%1.%2.%3.%4　"/>
        <w:lvlJc w:val="left"/>
        <w:rPr>
          <w:rFonts w:hint="eastAsia" w:ascii="黑体" w:hAnsi="黑体" w:eastAsia="黑体" w:cs="Times New Roman"/>
          <w:sz w:val="20"/>
        </w:rPr>
      </w:lvl>
    </w:lvlOverride>
    <w:lvlOverride w:ilvl="4">
      <w:lvl w:ilvl="4" w:tentative="1">
        <w:start w:val="1"/>
        <w:numFmt w:val="decimal"/>
        <w:suff w:val="nothing"/>
        <w:lvlText w:val="%1.%2.%3.%4.%5　"/>
        <w:lvlJc w:val="left"/>
        <w:rPr>
          <w:rFonts w:hint="eastAsia" w:ascii="黑体" w:hAnsi="黑体" w:eastAsia="黑体" w:cs="Times New Roman"/>
          <w:sz w:val="20"/>
        </w:rPr>
      </w:lvl>
    </w:lvlOverride>
    <w:lvlOverride w:ilvl="5">
      <w:lvl w:ilvl="5" w:tentative="1">
        <w:start w:val="1"/>
        <w:numFmt w:val="decimal"/>
        <w:suff w:val="nothing"/>
        <w:lvlText w:val="%1.%2.%3.%4.%5.%6　"/>
        <w:lvlJc w:val="left"/>
        <w:rPr>
          <w:rFonts w:hint="eastAsia" w:ascii="黑体" w:hAnsi="黑体" w:eastAsia="黑体" w:cs="Times New Roman"/>
          <w:sz w:val="20"/>
        </w:rPr>
      </w:lvl>
    </w:lvlOverride>
    <w:lvlOverride w:ilvl="6">
      <w:lvl w:ilvl="6" w:tentative="1">
        <w:start w:val="1"/>
        <w:numFmt w:val="decimal"/>
        <w:lvlText w:val="%1.%2.%3.%4.%5.%6.%7."/>
        <w:lvlJc w:val="left"/>
        <w:pPr>
          <w:ind w:left="1276" w:hanging="1276"/>
        </w:pPr>
        <w:rPr>
          <w:rFonts w:hint="eastAsia" w:cs="Times New Roman"/>
        </w:rPr>
      </w:lvl>
    </w:lvlOverride>
    <w:lvlOverride w:ilvl="7">
      <w:lvl w:ilvl="7" w:tentative="1">
        <w:start w:val="1"/>
        <w:numFmt w:val="decimal"/>
        <w:lvlText w:val="%1.%2.%3.%4.%5.%6.%7.%8."/>
        <w:lvlJc w:val="left"/>
        <w:pPr>
          <w:ind w:left="1418" w:hanging="1418"/>
        </w:pPr>
        <w:rPr>
          <w:rFonts w:hint="eastAsia" w:cs="Times New Roman"/>
        </w:rPr>
      </w:lvl>
    </w:lvlOverride>
    <w:lvlOverride w:ilvl="8">
      <w:lvl w:ilvl="8" w:tentative="1">
        <w:start w:val="1"/>
        <w:numFmt w:val="decimal"/>
        <w:lvlText w:val="%1.%2.%3.%4.%5.%6.%7.%8.%9."/>
        <w:lvlJc w:val="left"/>
        <w:pPr>
          <w:ind w:left="1559" w:hanging="1559"/>
        </w:pPr>
        <w:rPr>
          <w:rFonts w:hint="eastAsia" w:cs="Times New Roman"/>
        </w:rPr>
      </w:lvl>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1EDA"/>
    <w:rsid w:val="000C6FDF"/>
    <w:rsid w:val="000D0C70"/>
    <w:rsid w:val="000D1ABD"/>
    <w:rsid w:val="000E03F4"/>
    <w:rsid w:val="000E3C6E"/>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27E8"/>
    <w:rsid w:val="00144458"/>
    <w:rsid w:val="00146C69"/>
    <w:rsid w:val="001633C6"/>
    <w:rsid w:val="001726D5"/>
    <w:rsid w:val="001730E9"/>
    <w:rsid w:val="0018343A"/>
    <w:rsid w:val="0018656D"/>
    <w:rsid w:val="00186874"/>
    <w:rsid w:val="00187BEE"/>
    <w:rsid w:val="00187C0E"/>
    <w:rsid w:val="001966B7"/>
    <w:rsid w:val="001A0E88"/>
    <w:rsid w:val="001A3E95"/>
    <w:rsid w:val="001A5604"/>
    <w:rsid w:val="001A6316"/>
    <w:rsid w:val="001B1818"/>
    <w:rsid w:val="001B435D"/>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179E5"/>
    <w:rsid w:val="002212CF"/>
    <w:rsid w:val="0022356A"/>
    <w:rsid w:val="00224E7F"/>
    <w:rsid w:val="002278D9"/>
    <w:rsid w:val="00231B31"/>
    <w:rsid w:val="002325EC"/>
    <w:rsid w:val="00233A3F"/>
    <w:rsid w:val="002355A1"/>
    <w:rsid w:val="00236861"/>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3B29"/>
    <w:rsid w:val="00294C67"/>
    <w:rsid w:val="00296E84"/>
    <w:rsid w:val="002A7716"/>
    <w:rsid w:val="002B07EC"/>
    <w:rsid w:val="002B1FB4"/>
    <w:rsid w:val="002B3576"/>
    <w:rsid w:val="002B3FC5"/>
    <w:rsid w:val="002C1968"/>
    <w:rsid w:val="002D1BFD"/>
    <w:rsid w:val="002D49DA"/>
    <w:rsid w:val="002F2D9C"/>
    <w:rsid w:val="002F3E5E"/>
    <w:rsid w:val="002F6D1E"/>
    <w:rsid w:val="00303432"/>
    <w:rsid w:val="003052AE"/>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14C"/>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87CBE"/>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0C38"/>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2468"/>
    <w:rsid w:val="004D36A0"/>
    <w:rsid w:val="004D792C"/>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581E"/>
    <w:rsid w:val="005E5F2D"/>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61B1C"/>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D98"/>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9273C"/>
    <w:rsid w:val="00792ADE"/>
    <w:rsid w:val="00797451"/>
    <w:rsid w:val="007A04B5"/>
    <w:rsid w:val="007A1805"/>
    <w:rsid w:val="007A1F7C"/>
    <w:rsid w:val="007A4018"/>
    <w:rsid w:val="007B0B53"/>
    <w:rsid w:val="007B7487"/>
    <w:rsid w:val="007C10C1"/>
    <w:rsid w:val="007C10F2"/>
    <w:rsid w:val="007C3D9D"/>
    <w:rsid w:val="007C7901"/>
    <w:rsid w:val="007D1BF2"/>
    <w:rsid w:val="007D1F29"/>
    <w:rsid w:val="007D2580"/>
    <w:rsid w:val="007D2F75"/>
    <w:rsid w:val="007D39FC"/>
    <w:rsid w:val="007D64C2"/>
    <w:rsid w:val="007D6DF6"/>
    <w:rsid w:val="007D76EC"/>
    <w:rsid w:val="007E0E9F"/>
    <w:rsid w:val="007E500A"/>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46F99"/>
    <w:rsid w:val="0085152C"/>
    <w:rsid w:val="008518D1"/>
    <w:rsid w:val="00861ED6"/>
    <w:rsid w:val="00864A73"/>
    <w:rsid w:val="008664C4"/>
    <w:rsid w:val="00867176"/>
    <w:rsid w:val="0086794C"/>
    <w:rsid w:val="008708FE"/>
    <w:rsid w:val="008709D9"/>
    <w:rsid w:val="00871480"/>
    <w:rsid w:val="008722F5"/>
    <w:rsid w:val="00873C66"/>
    <w:rsid w:val="00876408"/>
    <w:rsid w:val="00886CE1"/>
    <w:rsid w:val="008902F1"/>
    <w:rsid w:val="00890D0C"/>
    <w:rsid w:val="00891E5C"/>
    <w:rsid w:val="008958D9"/>
    <w:rsid w:val="008966BA"/>
    <w:rsid w:val="008A0829"/>
    <w:rsid w:val="008A1274"/>
    <w:rsid w:val="008A447E"/>
    <w:rsid w:val="008A466F"/>
    <w:rsid w:val="008A5792"/>
    <w:rsid w:val="008B7300"/>
    <w:rsid w:val="008C07A3"/>
    <w:rsid w:val="008C340C"/>
    <w:rsid w:val="008C71D2"/>
    <w:rsid w:val="008D4D82"/>
    <w:rsid w:val="008E55CF"/>
    <w:rsid w:val="008F519C"/>
    <w:rsid w:val="008F622E"/>
    <w:rsid w:val="009043B5"/>
    <w:rsid w:val="00904E8A"/>
    <w:rsid w:val="00907644"/>
    <w:rsid w:val="00910C04"/>
    <w:rsid w:val="00911D84"/>
    <w:rsid w:val="00913B29"/>
    <w:rsid w:val="009154E9"/>
    <w:rsid w:val="00917819"/>
    <w:rsid w:val="009225C1"/>
    <w:rsid w:val="009232BD"/>
    <w:rsid w:val="00932B00"/>
    <w:rsid w:val="00934FFB"/>
    <w:rsid w:val="00935136"/>
    <w:rsid w:val="009358C0"/>
    <w:rsid w:val="0093704D"/>
    <w:rsid w:val="0094562C"/>
    <w:rsid w:val="0095048A"/>
    <w:rsid w:val="00950EB2"/>
    <w:rsid w:val="00953A9E"/>
    <w:rsid w:val="009551D8"/>
    <w:rsid w:val="00960D1E"/>
    <w:rsid w:val="00963743"/>
    <w:rsid w:val="00964AE0"/>
    <w:rsid w:val="009651A4"/>
    <w:rsid w:val="00965BA4"/>
    <w:rsid w:val="0096689E"/>
    <w:rsid w:val="00973173"/>
    <w:rsid w:val="00975A15"/>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D1110"/>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304"/>
    <w:rsid w:val="00AC6E32"/>
    <w:rsid w:val="00AD611B"/>
    <w:rsid w:val="00AD71F4"/>
    <w:rsid w:val="00AE0DEC"/>
    <w:rsid w:val="00AE1A4A"/>
    <w:rsid w:val="00AE1E50"/>
    <w:rsid w:val="00AE24DD"/>
    <w:rsid w:val="00AE5E63"/>
    <w:rsid w:val="00AE67DE"/>
    <w:rsid w:val="00AF266A"/>
    <w:rsid w:val="00B01DA7"/>
    <w:rsid w:val="00B0362B"/>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04AB"/>
    <w:rsid w:val="00B4113F"/>
    <w:rsid w:val="00B416C4"/>
    <w:rsid w:val="00B43A12"/>
    <w:rsid w:val="00B4493E"/>
    <w:rsid w:val="00B45C24"/>
    <w:rsid w:val="00B54F6E"/>
    <w:rsid w:val="00B56DCE"/>
    <w:rsid w:val="00B57E8C"/>
    <w:rsid w:val="00B61021"/>
    <w:rsid w:val="00B61DF3"/>
    <w:rsid w:val="00B6306C"/>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25E9"/>
    <w:rsid w:val="00C467AA"/>
    <w:rsid w:val="00C576B3"/>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E68"/>
    <w:rsid w:val="00CB0FE3"/>
    <w:rsid w:val="00CB57EF"/>
    <w:rsid w:val="00CB5FCA"/>
    <w:rsid w:val="00CB6808"/>
    <w:rsid w:val="00CC6326"/>
    <w:rsid w:val="00CD04EF"/>
    <w:rsid w:val="00CD1407"/>
    <w:rsid w:val="00CD1819"/>
    <w:rsid w:val="00CD20A5"/>
    <w:rsid w:val="00CD2154"/>
    <w:rsid w:val="00CD405E"/>
    <w:rsid w:val="00CD599F"/>
    <w:rsid w:val="00CD67D7"/>
    <w:rsid w:val="00CE2B3E"/>
    <w:rsid w:val="00CE30B2"/>
    <w:rsid w:val="00CF17F5"/>
    <w:rsid w:val="00D007D1"/>
    <w:rsid w:val="00D01B1C"/>
    <w:rsid w:val="00D03DAF"/>
    <w:rsid w:val="00D06C38"/>
    <w:rsid w:val="00D1079D"/>
    <w:rsid w:val="00D10C65"/>
    <w:rsid w:val="00D11115"/>
    <w:rsid w:val="00D12882"/>
    <w:rsid w:val="00D165F1"/>
    <w:rsid w:val="00D32067"/>
    <w:rsid w:val="00D32D8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5F"/>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995"/>
    <w:rsid w:val="00E42E35"/>
    <w:rsid w:val="00E4712E"/>
    <w:rsid w:val="00E50940"/>
    <w:rsid w:val="00E53289"/>
    <w:rsid w:val="00E53FED"/>
    <w:rsid w:val="00E62608"/>
    <w:rsid w:val="00E65955"/>
    <w:rsid w:val="00E677B5"/>
    <w:rsid w:val="00E716D7"/>
    <w:rsid w:val="00E71BA0"/>
    <w:rsid w:val="00E77EC8"/>
    <w:rsid w:val="00E80444"/>
    <w:rsid w:val="00E81990"/>
    <w:rsid w:val="00E829D4"/>
    <w:rsid w:val="00E86493"/>
    <w:rsid w:val="00E90712"/>
    <w:rsid w:val="00E93E1E"/>
    <w:rsid w:val="00E95994"/>
    <w:rsid w:val="00E97738"/>
    <w:rsid w:val="00EA1B53"/>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43C8"/>
    <w:rsid w:val="00F265F0"/>
    <w:rsid w:val="00F26A7A"/>
    <w:rsid w:val="00F315DE"/>
    <w:rsid w:val="00F316BF"/>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4912"/>
    <w:rsid w:val="00FB61D5"/>
    <w:rsid w:val="00FC4C44"/>
    <w:rsid w:val="00FC79D7"/>
    <w:rsid w:val="00FD19C6"/>
    <w:rsid w:val="00FD3B58"/>
    <w:rsid w:val="00FE07D1"/>
    <w:rsid w:val="00FE35DF"/>
    <w:rsid w:val="00FE4549"/>
    <w:rsid w:val="00FE6DC9"/>
    <w:rsid w:val="00FE76C9"/>
    <w:rsid w:val="01C6081D"/>
    <w:rsid w:val="0396211E"/>
    <w:rsid w:val="040C70B8"/>
    <w:rsid w:val="048356C2"/>
    <w:rsid w:val="05214C6E"/>
    <w:rsid w:val="06C61515"/>
    <w:rsid w:val="07406A2D"/>
    <w:rsid w:val="08335DA8"/>
    <w:rsid w:val="08511B03"/>
    <w:rsid w:val="0A4A0F15"/>
    <w:rsid w:val="0B707E0C"/>
    <w:rsid w:val="0BA26ECB"/>
    <w:rsid w:val="0BEA1150"/>
    <w:rsid w:val="0C3D6E4B"/>
    <w:rsid w:val="0CA14260"/>
    <w:rsid w:val="0D08560B"/>
    <w:rsid w:val="0E372F95"/>
    <w:rsid w:val="0F202F07"/>
    <w:rsid w:val="0F533FE2"/>
    <w:rsid w:val="0F7F7A9C"/>
    <w:rsid w:val="10393859"/>
    <w:rsid w:val="111F03D8"/>
    <w:rsid w:val="12E0534B"/>
    <w:rsid w:val="143570C3"/>
    <w:rsid w:val="14B54C74"/>
    <w:rsid w:val="14F12CFE"/>
    <w:rsid w:val="156E326E"/>
    <w:rsid w:val="16643606"/>
    <w:rsid w:val="184941FD"/>
    <w:rsid w:val="1965348B"/>
    <w:rsid w:val="19CC1262"/>
    <w:rsid w:val="1A4A1518"/>
    <w:rsid w:val="1BC837A0"/>
    <w:rsid w:val="1C83130A"/>
    <w:rsid w:val="1D8E2655"/>
    <w:rsid w:val="1E8D37C0"/>
    <w:rsid w:val="1E910671"/>
    <w:rsid w:val="1EDF5BAD"/>
    <w:rsid w:val="1F5F2A1E"/>
    <w:rsid w:val="1F873F05"/>
    <w:rsid w:val="203B7217"/>
    <w:rsid w:val="20644E2A"/>
    <w:rsid w:val="21BB336B"/>
    <w:rsid w:val="22EB6C48"/>
    <w:rsid w:val="235627B3"/>
    <w:rsid w:val="28047B64"/>
    <w:rsid w:val="287603A7"/>
    <w:rsid w:val="29A05BEF"/>
    <w:rsid w:val="2A2B5331"/>
    <w:rsid w:val="2A736D9D"/>
    <w:rsid w:val="2BD40EB0"/>
    <w:rsid w:val="2C4C5E8B"/>
    <w:rsid w:val="2D5D3182"/>
    <w:rsid w:val="2F3276C7"/>
    <w:rsid w:val="2F9E15F6"/>
    <w:rsid w:val="2FE563BF"/>
    <w:rsid w:val="3029612C"/>
    <w:rsid w:val="306B6BAB"/>
    <w:rsid w:val="30C46074"/>
    <w:rsid w:val="33A53EC8"/>
    <w:rsid w:val="34151D8E"/>
    <w:rsid w:val="341D7E87"/>
    <w:rsid w:val="34C80BDF"/>
    <w:rsid w:val="3502328D"/>
    <w:rsid w:val="36E55085"/>
    <w:rsid w:val="37751AF0"/>
    <w:rsid w:val="38850185"/>
    <w:rsid w:val="3A601CA4"/>
    <w:rsid w:val="3A9D5D02"/>
    <w:rsid w:val="3BBC06C3"/>
    <w:rsid w:val="3C831334"/>
    <w:rsid w:val="3C8F0DB1"/>
    <w:rsid w:val="3D6B5CC3"/>
    <w:rsid w:val="3F457B27"/>
    <w:rsid w:val="3FFA1EC7"/>
    <w:rsid w:val="408978EB"/>
    <w:rsid w:val="40DA2DFB"/>
    <w:rsid w:val="414E50F4"/>
    <w:rsid w:val="42DB4B24"/>
    <w:rsid w:val="44105AB2"/>
    <w:rsid w:val="451A5EF2"/>
    <w:rsid w:val="45D61170"/>
    <w:rsid w:val="47480D31"/>
    <w:rsid w:val="474C413B"/>
    <w:rsid w:val="48B9451E"/>
    <w:rsid w:val="493C4A74"/>
    <w:rsid w:val="49695AF7"/>
    <w:rsid w:val="499D7B84"/>
    <w:rsid w:val="49A46A9C"/>
    <w:rsid w:val="49B82E3F"/>
    <w:rsid w:val="49C010F7"/>
    <w:rsid w:val="4CF363A1"/>
    <w:rsid w:val="4DF07E6B"/>
    <w:rsid w:val="4E602391"/>
    <w:rsid w:val="4EBE750F"/>
    <w:rsid w:val="4EC10820"/>
    <w:rsid w:val="55256E16"/>
    <w:rsid w:val="568A134B"/>
    <w:rsid w:val="5704235B"/>
    <w:rsid w:val="57165D3A"/>
    <w:rsid w:val="573678DC"/>
    <w:rsid w:val="57BE3CD2"/>
    <w:rsid w:val="59334136"/>
    <w:rsid w:val="59C344E4"/>
    <w:rsid w:val="59D91176"/>
    <w:rsid w:val="59E253A8"/>
    <w:rsid w:val="5A144FE4"/>
    <w:rsid w:val="5AF54DB1"/>
    <w:rsid w:val="5B7820C2"/>
    <w:rsid w:val="5B822F01"/>
    <w:rsid w:val="5C1D7806"/>
    <w:rsid w:val="5C7F57FD"/>
    <w:rsid w:val="5C92241F"/>
    <w:rsid w:val="5CD3076E"/>
    <w:rsid w:val="5DA11A4B"/>
    <w:rsid w:val="615B12C7"/>
    <w:rsid w:val="63845DA1"/>
    <w:rsid w:val="64A81D34"/>
    <w:rsid w:val="65B71508"/>
    <w:rsid w:val="67E039D7"/>
    <w:rsid w:val="68066C6F"/>
    <w:rsid w:val="6910451E"/>
    <w:rsid w:val="69134930"/>
    <w:rsid w:val="6D74345B"/>
    <w:rsid w:val="6EAD269B"/>
    <w:rsid w:val="6EFC61DE"/>
    <w:rsid w:val="6F130D6B"/>
    <w:rsid w:val="6FDB6DB6"/>
    <w:rsid w:val="70C459E5"/>
    <w:rsid w:val="71241F08"/>
    <w:rsid w:val="71551F4C"/>
    <w:rsid w:val="71E749BC"/>
    <w:rsid w:val="74B73D3A"/>
    <w:rsid w:val="74F07550"/>
    <w:rsid w:val="758A453A"/>
    <w:rsid w:val="75E64D79"/>
    <w:rsid w:val="76C35B86"/>
    <w:rsid w:val="773C174A"/>
    <w:rsid w:val="777C730B"/>
    <w:rsid w:val="795D1AEE"/>
    <w:rsid w:val="79D86BE9"/>
    <w:rsid w:val="7B016CDB"/>
    <w:rsid w:val="7C39190A"/>
    <w:rsid w:val="7C601D5B"/>
    <w:rsid w:val="7D80036F"/>
    <w:rsid w:val="7E6C272D"/>
    <w:rsid w:val="7F6806A3"/>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34"/>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0"/>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 w:type="table" w:customStyle="1" w:styleId="262">
    <w:name w:val="Table Normal1"/>
    <w:semiHidden/>
    <w:unhideWhenUsed/>
    <w:qFormat/>
    <w:uiPriority w:val="2"/>
    <w:pPr>
      <w:widowControl w:val="0"/>
      <w:autoSpaceDE w:val="0"/>
      <w:autoSpaceDN w:val="0"/>
    </w:pPr>
    <w:rPr>
      <w:rFonts w:cstheme="minorBidi"/>
      <w:sz w:val="22"/>
      <w:szCs w:val="22"/>
      <w:lang w:eastAsia="en-US"/>
    </w:rPr>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107DCF"/>
    <w:rsid w:val="00150895"/>
    <w:rsid w:val="00194C1A"/>
    <w:rsid w:val="001F4A87"/>
    <w:rsid w:val="00200805"/>
    <w:rsid w:val="002051BC"/>
    <w:rsid w:val="00237224"/>
    <w:rsid w:val="00257A72"/>
    <w:rsid w:val="002D6AEB"/>
    <w:rsid w:val="002E326B"/>
    <w:rsid w:val="002E417D"/>
    <w:rsid w:val="00306777"/>
    <w:rsid w:val="00343315"/>
    <w:rsid w:val="00363B07"/>
    <w:rsid w:val="003763D0"/>
    <w:rsid w:val="003834C7"/>
    <w:rsid w:val="004557CA"/>
    <w:rsid w:val="004A45D2"/>
    <w:rsid w:val="00522A98"/>
    <w:rsid w:val="0054743B"/>
    <w:rsid w:val="00555031"/>
    <w:rsid w:val="005A1742"/>
    <w:rsid w:val="005D0125"/>
    <w:rsid w:val="005E4E75"/>
    <w:rsid w:val="005F42E5"/>
    <w:rsid w:val="006025BA"/>
    <w:rsid w:val="006241C9"/>
    <w:rsid w:val="00650A60"/>
    <w:rsid w:val="00650D44"/>
    <w:rsid w:val="00665D0E"/>
    <w:rsid w:val="0066736D"/>
    <w:rsid w:val="006B2BEE"/>
    <w:rsid w:val="006C4EFC"/>
    <w:rsid w:val="007179B7"/>
    <w:rsid w:val="007224B9"/>
    <w:rsid w:val="007A400F"/>
    <w:rsid w:val="007E51B8"/>
    <w:rsid w:val="00862341"/>
    <w:rsid w:val="00864AD6"/>
    <w:rsid w:val="00867FC7"/>
    <w:rsid w:val="008C398A"/>
    <w:rsid w:val="008E4BA8"/>
    <w:rsid w:val="0091698F"/>
    <w:rsid w:val="0093340E"/>
    <w:rsid w:val="0094711E"/>
    <w:rsid w:val="00964F21"/>
    <w:rsid w:val="009D4185"/>
    <w:rsid w:val="00A73CE4"/>
    <w:rsid w:val="00A97312"/>
    <w:rsid w:val="00AC0FCD"/>
    <w:rsid w:val="00AE6AE7"/>
    <w:rsid w:val="00AF4572"/>
    <w:rsid w:val="00B57E51"/>
    <w:rsid w:val="00B65F49"/>
    <w:rsid w:val="00B815C8"/>
    <w:rsid w:val="00BB65A3"/>
    <w:rsid w:val="00C031C8"/>
    <w:rsid w:val="00C52CA1"/>
    <w:rsid w:val="00CB5F86"/>
    <w:rsid w:val="00CC69AF"/>
    <w:rsid w:val="00CD72EB"/>
    <w:rsid w:val="00D022E4"/>
    <w:rsid w:val="00D26B26"/>
    <w:rsid w:val="00D31310"/>
    <w:rsid w:val="00D47D06"/>
    <w:rsid w:val="00D47D25"/>
    <w:rsid w:val="00D830D5"/>
    <w:rsid w:val="00D90313"/>
    <w:rsid w:val="00DB5AA2"/>
    <w:rsid w:val="00E9517D"/>
    <w:rsid w:val="00E97A6B"/>
    <w:rsid w:val="00EA44B2"/>
    <w:rsid w:val="00EA68E1"/>
    <w:rsid w:val="00EC593C"/>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93BA5-7FC6-4C7A-8549-3614AA353423}">
  <ds:schemaRefs/>
</ds:datastoreItem>
</file>

<file path=docProps/app.xml><?xml version="1.0" encoding="utf-8"?>
<Properties xmlns="http://schemas.openxmlformats.org/officeDocument/2006/extended-properties" xmlns:vt="http://schemas.openxmlformats.org/officeDocument/2006/docPropsVTypes">
  <Template>Template</Template>
  <Pages>1</Pages>
  <Words>1302</Words>
  <Characters>7427</Characters>
  <Lines>61</Lines>
  <Paragraphs>17</Paragraphs>
  <TotalTime>50</TotalTime>
  <ScaleCrop>false</ScaleCrop>
  <LinksUpToDate>false</LinksUpToDate>
  <CharactersWithSpaces>8712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陈超慧</dc:creator>
  <cp:lastModifiedBy>冬雪</cp:lastModifiedBy>
  <cp:lastPrinted>2025-04-15T01:56:00Z</cp:lastPrinted>
  <dcterms:modified xsi:type="dcterms:W3CDTF">2025-04-28T07:12:13Z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37AA7A65782C4ABCB09DEA2C5D090136</vt:lpwstr>
  </property>
</Properties>
</file>